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2B78" w:rsidRPr="00827F48" w:rsidRDefault="00C1524D" w:rsidP="00827F48">
      <w:pPr>
        <w:jc w:val="center"/>
        <w:rPr>
          <w:sz w:val="28"/>
          <w:szCs w:val="28"/>
        </w:rPr>
      </w:pPr>
      <w:r w:rsidRPr="00827F48">
        <w:rPr>
          <w:sz w:val="28"/>
          <w:szCs w:val="28"/>
        </w:rPr>
        <w:t>ESC smjernice za dijabetes, predijabetes i kardiovaskularne bolesti razvijene u saradnji sa EASD-om (sažetak)</w:t>
      </w:r>
    </w:p>
    <w:p w:rsidR="00C1524D" w:rsidRPr="00827F48" w:rsidRDefault="00C1524D" w:rsidP="00827F48">
      <w:pPr>
        <w:jc w:val="center"/>
        <w:rPr>
          <w:sz w:val="28"/>
          <w:szCs w:val="28"/>
        </w:rPr>
      </w:pPr>
      <w:r w:rsidRPr="00827F48">
        <w:rPr>
          <w:sz w:val="28"/>
          <w:szCs w:val="28"/>
        </w:rPr>
        <w:t>The task force za dijabetes, predijabetes i kardiovaskularne bolesti Evropskog udruženja kardiologa (ESC) i</w:t>
      </w:r>
      <w:r w:rsidR="008D397F" w:rsidRPr="00827F48">
        <w:rPr>
          <w:sz w:val="28"/>
          <w:szCs w:val="28"/>
        </w:rPr>
        <w:t xml:space="preserve"> razvijeno u saradnji sa Evropskom asocijacijom za izučavanje dijabetesa (EASD)</w:t>
      </w:r>
      <w:r w:rsidR="0064248B">
        <w:rPr>
          <w:sz w:val="28"/>
          <w:szCs w:val="28"/>
        </w:rPr>
        <w:t>.</w:t>
      </w:r>
      <w:bookmarkStart w:id="0" w:name="_GoBack"/>
      <w:bookmarkEnd w:id="0"/>
    </w:p>
    <w:p w:rsidR="00827F48" w:rsidRPr="00827F48" w:rsidRDefault="00827F48">
      <w:pPr>
        <w:rPr>
          <w:b/>
          <w:u w:val="single"/>
        </w:rPr>
      </w:pPr>
      <w:r w:rsidRPr="00827F48">
        <w:rPr>
          <w:b/>
          <w:u w:val="single"/>
        </w:rPr>
        <w:t xml:space="preserve">Prevod uradili: </w:t>
      </w:r>
    </w:p>
    <w:p w:rsidR="00827F48" w:rsidRDefault="00827F48" w:rsidP="00827F48">
      <w:pPr>
        <w:ind w:firstLine="567"/>
      </w:pPr>
      <w:r w:rsidRPr="00827F48">
        <w:rPr>
          <w:b/>
        </w:rPr>
        <w:t>Dr Jelena Malinović Univerziteska Bolnica Banja Luka/Medicinski fakultet u Banja Luci</w:t>
      </w:r>
    </w:p>
    <w:p w:rsidR="00827F48" w:rsidRPr="00827F48" w:rsidRDefault="00827F48" w:rsidP="00827F48">
      <w:pPr>
        <w:ind w:firstLine="567"/>
        <w:rPr>
          <w:b/>
        </w:rPr>
      </w:pPr>
      <w:r w:rsidRPr="00827F48">
        <w:rPr>
          <w:b/>
        </w:rPr>
        <w:t>Dr Milan Gluhović  JZU Bilnica Istočno Sarajevo</w:t>
      </w:r>
    </w:p>
    <w:p w:rsidR="008D397F" w:rsidRDefault="008D397F" w:rsidP="008D397F">
      <w:r>
        <w:t>Autori/Task Force članovi: Lars Ryden*(ESC predsjedavajući) (Švedska</w:t>
      </w:r>
      <w:r w:rsidR="00905E04">
        <w:t xml:space="preserve">), </w:t>
      </w:r>
      <w:r>
        <w:t>Peter J. Grant* (EASD predjedavajući) (Velika Britanija), Stefan D. Anker (Njemačka</w:t>
      </w:r>
      <w:r w:rsidR="00905E04">
        <w:t xml:space="preserve">), </w:t>
      </w:r>
      <w:r>
        <w:t>Christian Berne (Švedska), Francesco Cosentino (Italija), Nicolas Danchin (Francuska</w:t>
      </w:r>
      <w:r w:rsidR="00905E04">
        <w:t>),</w:t>
      </w:r>
      <w:r>
        <w:t>Christi Deaton (Velika Britanija), Javier Escaned (Španija), Hans-Peter Hammes (Njemačka</w:t>
      </w:r>
      <w:r w:rsidR="00905E04">
        <w:t>), Heikki Huikuri (Finska</w:t>
      </w:r>
      <w:r>
        <w:t>), Michel Marre (</w:t>
      </w:r>
      <w:r w:rsidR="00905E04">
        <w:t>Francuska</w:t>
      </w:r>
      <w:r>
        <w:t>), Nikolaus Marx (</w:t>
      </w:r>
      <w:r w:rsidR="00905E04">
        <w:t xml:space="preserve">Njemačka), </w:t>
      </w:r>
      <w:r>
        <w:t>Linda Mellbin (</w:t>
      </w:r>
      <w:r w:rsidR="00905E04">
        <w:t>Švedska</w:t>
      </w:r>
      <w:r>
        <w:t xml:space="preserve">), </w:t>
      </w:r>
      <w:r w:rsidR="00905E04">
        <w:t xml:space="preserve"> </w:t>
      </w:r>
      <w:r>
        <w:t>Jan Ostergren (</w:t>
      </w:r>
      <w:r w:rsidR="00905E04">
        <w:t>Švedska</w:t>
      </w:r>
      <w:r>
        <w:t>), Carlo Patrono (</w:t>
      </w:r>
      <w:r w:rsidR="00905E04">
        <w:t>Italija), Petar Seferovic (Srbija</w:t>
      </w:r>
      <w:r>
        <w:t>), Miguel Sousa Uva (Portugal), Marja-Riita Taskinen (</w:t>
      </w:r>
      <w:r w:rsidR="00905E04">
        <w:t xml:space="preserve">Finska), </w:t>
      </w:r>
      <w:r>
        <w:t>Michal Tendera (</w:t>
      </w:r>
      <w:r w:rsidR="00905E04">
        <w:t>Poljska</w:t>
      </w:r>
      <w:r>
        <w:t>), Jaakko Tuomilehto (</w:t>
      </w:r>
      <w:r w:rsidR="00905E04">
        <w:t>Finska</w:t>
      </w:r>
      <w:r>
        <w:t>), Paul Valensi (</w:t>
      </w:r>
      <w:r w:rsidR="00905E04">
        <w:t xml:space="preserve">Francuska), and </w:t>
      </w:r>
      <w:r>
        <w:t>Jose Luis Zamorano (</w:t>
      </w:r>
      <w:r w:rsidR="00905E04">
        <w:t>Španija</w:t>
      </w:r>
      <w:r>
        <w:t>).</w:t>
      </w:r>
    </w:p>
    <w:p w:rsidR="008D397F" w:rsidRDefault="008D397F" w:rsidP="008D397F">
      <w:r>
        <w:t xml:space="preserve">ESC </w:t>
      </w:r>
      <w:r w:rsidR="00D23E54">
        <w:t>Komitet za izvođenje smjernica</w:t>
      </w:r>
      <w:r>
        <w:t xml:space="preserve"> (CPG): </w:t>
      </w:r>
      <w:r w:rsidR="00D23E54">
        <w:t>Jose Luis Zamorano (predsjedavajući</w:t>
      </w:r>
      <w:r>
        <w:t>) (</w:t>
      </w:r>
      <w:r w:rsidR="00905E04">
        <w:t>Španija</w:t>
      </w:r>
      <w:r w:rsidR="00D23E54">
        <w:t>), Stephan Achenbach</w:t>
      </w:r>
      <w:r>
        <w:t>(</w:t>
      </w:r>
      <w:r w:rsidR="00905E04">
        <w:t>Njemačka</w:t>
      </w:r>
      <w:r>
        <w:t>), Helmut Baumgartner (</w:t>
      </w:r>
      <w:r w:rsidR="00905E04">
        <w:t>Njemačka</w:t>
      </w:r>
      <w:r>
        <w:t>), Jeroen J. Bax (</w:t>
      </w:r>
      <w:r w:rsidR="00D23E54">
        <w:t>Holandija</w:t>
      </w:r>
      <w:r>
        <w:t>), He´ctor Bueno (</w:t>
      </w:r>
      <w:r w:rsidR="00905E04">
        <w:t>Španija</w:t>
      </w:r>
      <w:r w:rsidR="00D23E54">
        <w:t xml:space="preserve">), Veronica Dean </w:t>
      </w:r>
      <w:r>
        <w:t>(</w:t>
      </w:r>
      <w:r w:rsidR="00905E04">
        <w:t>Francuska</w:t>
      </w:r>
      <w:r>
        <w:t>), Christi Deaton (UK), Çetin Erol (Turkey), Robert Fagard (Belgium), Roberto Ferrari (</w:t>
      </w:r>
      <w:r w:rsidR="00905E04">
        <w:t>Italija</w:t>
      </w:r>
      <w:r w:rsidR="00D23E54">
        <w:t>), David Hasdai (Iz</w:t>
      </w:r>
      <w:r>
        <w:t>rael), ArnoW. Hoes (</w:t>
      </w:r>
      <w:r w:rsidR="00D23E54">
        <w:t>Holandija</w:t>
      </w:r>
      <w:r>
        <w:t>), Paulus Kirchhof (</w:t>
      </w:r>
      <w:r w:rsidR="00905E04">
        <w:t>Njemačka</w:t>
      </w:r>
      <w:r>
        <w:t>), Juhani Knuuti (</w:t>
      </w:r>
      <w:r w:rsidR="00905E04">
        <w:t>Finska</w:t>
      </w:r>
      <w:r w:rsidR="00D23E54">
        <w:t xml:space="preserve">), Philippe Kolh (Belgija), </w:t>
      </w:r>
      <w:r>
        <w:t>Patrizio Lancellotti (</w:t>
      </w:r>
      <w:r w:rsidR="00D23E54">
        <w:t>Belgija</w:t>
      </w:r>
      <w:r>
        <w:t>), Ales Linhart (</w:t>
      </w:r>
      <w:r w:rsidR="00D23E54">
        <w:t>Češka</w:t>
      </w:r>
      <w:r>
        <w:t>), Petros Nihoyanno</w:t>
      </w:r>
      <w:r w:rsidR="00D23E54">
        <w:t xml:space="preserve">poulos (UK), Massimo F. Piepoli </w:t>
      </w:r>
      <w:r>
        <w:t>(</w:t>
      </w:r>
      <w:r w:rsidR="00905E04">
        <w:t>Italija</w:t>
      </w:r>
      <w:r>
        <w:t>), Piotr Ponikowski (</w:t>
      </w:r>
      <w:r w:rsidR="00905E04">
        <w:t>Poljska</w:t>
      </w:r>
      <w:r>
        <w:t>), Per Anton Sirnes (</w:t>
      </w:r>
      <w:r w:rsidR="00D23E54">
        <w:t>Norveška</w:t>
      </w:r>
      <w:r>
        <w:t>), Juan Luis Tamargo (</w:t>
      </w:r>
      <w:r w:rsidR="00905E04">
        <w:t>Španija</w:t>
      </w:r>
      <w:r>
        <w:t>), Michal Tendera (</w:t>
      </w:r>
      <w:r w:rsidR="00905E04">
        <w:t>Poljska</w:t>
      </w:r>
      <w:r w:rsidR="00D23E54">
        <w:t xml:space="preserve">), </w:t>
      </w:r>
      <w:r>
        <w:t>Adam Torbicki (</w:t>
      </w:r>
      <w:r w:rsidR="00905E04">
        <w:t>Poljska</w:t>
      </w:r>
      <w:r>
        <w:t>),</w:t>
      </w:r>
      <w:r w:rsidR="00D23E54">
        <w:t xml:space="preserve"> </w:t>
      </w:r>
      <w:r>
        <w:t>WilliamWijns (</w:t>
      </w:r>
      <w:r w:rsidR="00D23E54">
        <w:t>Belgija</w:t>
      </w:r>
      <w:r>
        <w:t>), Stephan Windecker (</w:t>
      </w:r>
      <w:r w:rsidR="00D23E54">
        <w:t>Švajcarska</w:t>
      </w:r>
      <w:r w:rsidR="006A748B">
        <w:t xml:space="preserve">). </w:t>
      </w:r>
      <w:r w:rsidR="00D23E54">
        <w:t>Recezenti dokumenata: Guy De Backer (Koord</w:t>
      </w:r>
      <w:r>
        <w:t>inator) (</w:t>
      </w:r>
      <w:r w:rsidR="00D23E54">
        <w:t>Belgija</w:t>
      </w:r>
      <w:r>
        <w:t>), Per Anton</w:t>
      </w:r>
      <w:r w:rsidR="00D23E54">
        <w:t xml:space="preserve"> Sirnes </w:t>
      </w:r>
      <w:r>
        <w:t>(</w:t>
      </w:r>
      <w:r w:rsidR="00D23E54">
        <w:t>Norveška</w:t>
      </w:r>
      <w:r>
        <w:t>), Eduardo Alegria Ezquerra (</w:t>
      </w:r>
      <w:r w:rsidR="00905E04">
        <w:t>Španija</w:t>
      </w:r>
      <w:r>
        <w:t>), Angelo Avogaro (</w:t>
      </w:r>
      <w:r w:rsidR="00905E04">
        <w:t>Italija</w:t>
      </w:r>
      <w:r>
        <w:t>), Lina Badimon (</w:t>
      </w:r>
      <w:r w:rsidR="00905E04">
        <w:t>Španija</w:t>
      </w:r>
      <w:r w:rsidR="00D23E54">
        <w:t xml:space="preserve">), Elena Baranova (Russia), </w:t>
      </w:r>
      <w:r>
        <w:t>Helmut Baumgartner (</w:t>
      </w:r>
      <w:r w:rsidR="00905E04">
        <w:t>Njemačka</w:t>
      </w:r>
      <w:r>
        <w:t>), John Betteridge (UK), Antonio Ceriello (</w:t>
      </w:r>
      <w:r w:rsidR="00905E04">
        <w:t>Španija</w:t>
      </w:r>
      <w:r>
        <w:t>), Robert Fagard (</w:t>
      </w:r>
      <w:r w:rsidR="00D23E54">
        <w:t xml:space="preserve">Belgija), </w:t>
      </w:r>
      <w:r>
        <w:t>Christian Funck-Brentano (</w:t>
      </w:r>
      <w:r w:rsidR="00905E04">
        <w:t>Francuska</w:t>
      </w:r>
      <w:r>
        <w:t>), Dietrich C. Gulba (</w:t>
      </w:r>
      <w:r w:rsidR="00905E04">
        <w:t>Njemačka</w:t>
      </w:r>
      <w:r w:rsidR="006A748B">
        <w:t>), David Hasdai (Iz</w:t>
      </w:r>
      <w:r>
        <w:t>rael), ArnoW. Hoes (</w:t>
      </w:r>
      <w:r w:rsidR="00D23E54">
        <w:t>Holandija</w:t>
      </w:r>
      <w:r>
        <w:t>),</w:t>
      </w:r>
      <w:r w:rsidRPr="008D397F">
        <w:t xml:space="preserve"> </w:t>
      </w:r>
      <w:r>
        <w:t>John K. Kjekshus (</w:t>
      </w:r>
      <w:r w:rsidR="00D23E54">
        <w:t>Norveška</w:t>
      </w:r>
      <w:r>
        <w:t>), Juhani Knuuti (</w:t>
      </w:r>
      <w:r w:rsidR="00905E04">
        <w:t>Finska</w:t>
      </w:r>
      <w:r>
        <w:t>), Philippe Kolh (</w:t>
      </w:r>
      <w:r w:rsidR="00D23E54">
        <w:t>Belgija</w:t>
      </w:r>
      <w:r>
        <w:t>), Eli Lev (Israel), Chri</w:t>
      </w:r>
      <w:r w:rsidR="006A748B">
        <w:t xml:space="preserve">stian Mueller </w:t>
      </w:r>
      <w:r>
        <w:t>(</w:t>
      </w:r>
      <w:r w:rsidR="00D23E54">
        <w:t>Švajcarska</w:t>
      </w:r>
      <w:r w:rsidR="006A748B">
        <w:t>),LudwigNeyses (Luksemb</w:t>
      </w:r>
      <w:r>
        <w:t>urg),</w:t>
      </w:r>
      <w:r w:rsidR="006A748B">
        <w:t xml:space="preserve"> </w:t>
      </w:r>
      <w:r>
        <w:t>PeterM.Nilsson (</w:t>
      </w:r>
      <w:r w:rsidR="00905E04">
        <w:t>Švedska</w:t>
      </w:r>
      <w:r>
        <w:t>), JoepPerk (</w:t>
      </w:r>
      <w:r w:rsidR="00905E04">
        <w:t>Švedska</w:t>
      </w:r>
      <w:r>
        <w:t>),</w:t>
      </w:r>
      <w:r w:rsidR="006A748B">
        <w:t xml:space="preserve"> </w:t>
      </w:r>
      <w:r>
        <w:t>PiotrPonikowski (</w:t>
      </w:r>
      <w:r w:rsidR="00905E04">
        <w:t>Poljska</w:t>
      </w:r>
      <w:r w:rsidR="006A748B">
        <w:t>), Željko Reiner (Hrvatska), Naveed Sattar (Velika Britanija</w:t>
      </w:r>
      <w:r>
        <w:t>), Volker Scha¨chinger (</w:t>
      </w:r>
      <w:r w:rsidR="00905E04">
        <w:t>Njemačka</w:t>
      </w:r>
      <w:r>
        <w:t>), Andre´ Scheen (</w:t>
      </w:r>
      <w:r w:rsidR="00D23E54">
        <w:t>Belgija</w:t>
      </w:r>
      <w:r w:rsidR="006A748B">
        <w:t xml:space="preserve">), </w:t>
      </w:r>
      <w:r>
        <w:t>Henrik Schirmer (</w:t>
      </w:r>
      <w:r w:rsidR="00D23E54">
        <w:t>Norveška</w:t>
      </w:r>
      <w:r>
        <w:t>), Anna Stro¨mberg (</w:t>
      </w:r>
      <w:r w:rsidR="00905E04">
        <w:t>Švedska</w:t>
      </w:r>
      <w:r w:rsidR="006A748B">
        <w:t>), Svetlana Sudzhaeva (Bjelorusija</w:t>
      </w:r>
      <w:r>
        <w:t>), Juan Luis Tamargo (</w:t>
      </w:r>
      <w:r w:rsidR="00905E04">
        <w:t>Španija</w:t>
      </w:r>
      <w:r w:rsidR="006A748B">
        <w:t xml:space="preserve">), </w:t>
      </w:r>
      <w:r>
        <w:t>Margus Viigimaa (Estoni</w:t>
      </w:r>
      <w:r w:rsidR="006A748B">
        <w:t>j</w:t>
      </w:r>
      <w:r>
        <w:t xml:space="preserve">a), </w:t>
      </w:r>
      <w:r w:rsidR="006A748B">
        <w:t>Charalambos Vlachopoulos (Grčka</w:t>
      </w:r>
      <w:r>
        <w:t>), and Robert G. Xuereb, (Malta).</w:t>
      </w:r>
    </w:p>
    <w:p w:rsidR="006A748B" w:rsidRDefault="006A748B" w:rsidP="008D397F">
      <w:r>
        <w:t xml:space="preserve">Disclosure formulari autora i recezenata su dostupni na web stranici: </w:t>
      </w:r>
      <w:hyperlink r:id="rId6" w:history="1">
        <w:r w:rsidRPr="003645B7">
          <w:rPr>
            <w:rStyle w:val="Hyperlink"/>
          </w:rPr>
          <w:t>www.escardio.org/guidelines</w:t>
        </w:r>
      </w:hyperlink>
    </w:p>
    <w:p w:rsidR="006A748B" w:rsidRDefault="006A748B" w:rsidP="008D397F">
      <w:r>
        <w:t>Ključne riječi: smjernice, dijabetes, kardiovaskularne bolesti, poremećaj tolerancije glukoze, zbrinjavanje pacijenata, prevencija, epidemiologija, prognoza, dijagnostika, riziko faktori, farmakološki tretman, koronarne intervencije</w:t>
      </w:r>
    </w:p>
    <w:p w:rsidR="006A748B" w:rsidRDefault="006A748B" w:rsidP="008D6A1C">
      <w:r>
        <w:t>Uvod</w:t>
      </w:r>
    </w:p>
    <w:p w:rsidR="006A748B" w:rsidRDefault="008D6A1C" w:rsidP="008D6A1C">
      <w:r>
        <w:lastRenderedPageBreak/>
        <w:t>Ovo je sažetak druge iterac</w:t>
      </w:r>
      <w:r w:rsidR="006A748B">
        <w:t>i</w:t>
      </w:r>
      <w:r>
        <w:t>je</w:t>
      </w:r>
      <w:r w:rsidR="006A748B">
        <w:t xml:space="preserve"> </w:t>
      </w:r>
      <w:r>
        <w:t xml:space="preserve">Smjernica </w:t>
      </w:r>
      <w:r w:rsidR="006A748B">
        <w:t xml:space="preserve">Evropskog udruženja kardiologa </w:t>
      </w:r>
      <w:r>
        <w:t>(ESC)</w:t>
      </w:r>
      <w:r w:rsidR="006A748B">
        <w:t xml:space="preserve"> o upravljanju diabetes mellitus </w:t>
      </w:r>
      <w:r>
        <w:t>-a(DM), pre</w:t>
      </w:r>
      <w:r w:rsidR="006A748B">
        <w:t>dijabetes</w:t>
      </w:r>
      <w:r>
        <w:t>a i kardiovaskularnih bolesti (</w:t>
      </w:r>
      <w:r w:rsidR="00C9499B">
        <w:t>CVD</w:t>
      </w:r>
      <w:r>
        <w:t>) razvijen u sa</w:t>
      </w:r>
      <w:r w:rsidR="006A748B">
        <w:t xml:space="preserve">radnji </w:t>
      </w:r>
      <w:r>
        <w:t>sa Evropskom asocijacijom</w:t>
      </w:r>
      <w:r w:rsidR="006A748B">
        <w:t xml:space="preserve"> za proučavanje dijabetesa (EAS</w:t>
      </w:r>
      <w:r>
        <w:t>D). Ove smjernice su dizajnirane da pomognu kliničarima i drugim</w:t>
      </w:r>
      <w:r w:rsidR="006A748B">
        <w:t xml:space="preserve"> </w:t>
      </w:r>
      <w:r>
        <w:t>zdravstvenim radnicima u</w:t>
      </w:r>
      <w:r w:rsidR="00C33322">
        <w:t xml:space="preserve"> donošenju</w:t>
      </w:r>
      <w:r w:rsidR="006A748B">
        <w:t xml:space="preserve"> odluka </w:t>
      </w:r>
      <w:r>
        <w:t xml:space="preserve"> zasnovanih</w:t>
      </w:r>
      <w:r w:rsidR="006A748B">
        <w:t xml:space="preserve"> na dokazima. </w:t>
      </w:r>
      <w:r>
        <w:t>Rastuća svijest o snažnoj vezi</w:t>
      </w:r>
      <w:r w:rsidR="006A748B">
        <w:t xml:space="preserve"> između DM</w:t>
      </w:r>
      <w:r>
        <w:t>-a</w:t>
      </w:r>
      <w:r w:rsidR="006A748B">
        <w:t xml:space="preserve"> i </w:t>
      </w:r>
      <w:r w:rsidR="00C9499B">
        <w:t>CVD</w:t>
      </w:r>
      <w:r>
        <w:t xml:space="preserve"> navelo je</w:t>
      </w:r>
      <w:r w:rsidR="006A748B">
        <w:t xml:space="preserve"> ove org</w:t>
      </w:r>
      <w:r>
        <w:t>anizacije da sarađuju u generisanju</w:t>
      </w:r>
      <w:r w:rsidR="006A748B">
        <w:t xml:space="preserve"> sm</w:t>
      </w:r>
      <w:r>
        <w:t>jernica relevantnih</w:t>
      </w:r>
      <w:r w:rsidR="006A748B">
        <w:t xml:space="preserve"> za nj</w:t>
      </w:r>
      <w:r>
        <w:t xml:space="preserve">ihove zajedničke interese,  od </w:t>
      </w:r>
      <w:r w:rsidR="006A748B">
        <w:t>koji</w:t>
      </w:r>
      <w:r>
        <w:t>h</w:t>
      </w:r>
      <w:r w:rsidR="006A748B">
        <w:t xml:space="preserve"> su </w:t>
      </w:r>
      <w:r>
        <w:t xml:space="preserve">prve objavljene </w:t>
      </w:r>
      <w:r w:rsidR="006A748B">
        <w:t xml:space="preserve"> 2007.</w:t>
      </w:r>
    </w:p>
    <w:p w:rsidR="008D6A1C" w:rsidRDefault="008D6A1C" w:rsidP="008D6A1C">
      <w:r>
        <w:t>Procesi uključeni u stvaranje o</w:t>
      </w:r>
      <w:r w:rsidR="006C2A2C">
        <w:t xml:space="preserve">vih smjernica mogu se naći na: </w:t>
      </w:r>
      <w:r>
        <w:t>http://www.escardio.org/guidelines-surve</w:t>
      </w:r>
      <w:r w:rsidR="006C2A2C">
        <w:t>ys/esc-guidelines/about/Pages/ rules</w:t>
      </w:r>
      <w:r>
        <w:t xml:space="preserve">-writing.aspx. </w:t>
      </w:r>
    </w:p>
    <w:p w:rsidR="006C2A2C" w:rsidRDefault="008D6A1C" w:rsidP="008D6A1C">
      <w:r>
        <w:t>EASD i ESC su imenovali predsjedavajuće koji bi vod</w:t>
      </w:r>
      <w:r w:rsidR="006C2A2C">
        <w:t xml:space="preserve">ili aktivnosti Task Force-a. </w:t>
      </w:r>
      <w:r>
        <w:t>Njeni članovi su izabrani za</w:t>
      </w:r>
      <w:r w:rsidR="006C2A2C">
        <w:t xml:space="preserve"> određena područja stručnosti. Inicijalno</w:t>
      </w:r>
      <w:r>
        <w:t xml:space="preserve"> uređivanj</w:t>
      </w:r>
      <w:r w:rsidR="006C2A2C">
        <w:t>e i pregled rukopisa je održano na</w:t>
      </w:r>
      <w:r>
        <w:t xml:space="preserve"> Task </w:t>
      </w:r>
      <w:r w:rsidR="006C2A2C">
        <w:t>Force Sastancima</w:t>
      </w:r>
      <w:r>
        <w:t>, uz siste</w:t>
      </w:r>
      <w:r w:rsidR="006C2A2C">
        <w:t xml:space="preserve">matski pregled i komentare </w:t>
      </w:r>
      <w:r>
        <w:t xml:space="preserve">ESC Odbora za smjernice </w:t>
      </w:r>
      <w:r w:rsidR="006C2A2C">
        <w:t>u praksi</w:t>
      </w:r>
      <w:r>
        <w:t xml:space="preserve"> i EASD Panel </w:t>
      </w:r>
      <w:r w:rsidR="006C2A2C">
        <w:t xml:space="preserve">za </w:t>
      </w:r>
      <w:r>
        <w:t xml:space="preserve"> nadzor</w:t>
      </w:r>
      <w:r w:rsidR="006C2A2C">
        <w:t xml:space="preserve"> smjernica i izvještaja. </w:t>
      </w:r>
    </w:p>
    <w:p w:rsidR="008D6A1C" w:rsidRDefault="008D6A1C" w:rsidP="008D6A1C">
      <w:r>
        <w:t>Kao dopuna Smjernica, nekolik</w:t>
      </w:r>
      <w:r w:rsidR="006C2A2C">
        <w:t>o drugih dokumenata, baziranih na punoj verziji</w:t>
      </w:r>
      <w:r>
        <w:t>, su na raspolaganju. Na</w:t>
      </w:r>
      <w:r w:rsidR="006C2A2C">
        <w:t xml:space="preserve"> taj način, osim ovog sažetka, </w:t>
      </w:r>
      <w:r>
        <w:t>postoje i džep</w:t>
      </w:r>
      <w:r w:rsidR="006C2A2C">
        <w:t xml:space="preserve">ne Smjernice, sažeti  </w:t>
      </w:r>
      <w:r w:rsidR="003F3C39">
        <w:t xml:space="preserve"> slajdovi</w:t>
      </w:r>
      <w:r w:rsidR="006C2A2C">
        <w:t>, brošure sa esencijalnim porukama</w:t>
      </w:r>
      <w:r>
        <w:t xml:space="preserve"> i elektronsku verziju za digitalne aplikacije</w:t>
      </w:r>
      <w:r w:rsidR="006C2A2C">
        <w:t xml:space="preserve">. </w:t>
      </w:r>
      <w:r>
        <w:t>(Pametni telefoni, itd)</w:t>
      </w:r>
      <w:r w:rsidR="006C2A2C">
        <w:t xml:space="preserve">. Ove verzije su sve skraćene; stoga, ako je potrebno, </w:t>
      </w:r>
      <w:r>
        <w:t>treba u</w:t>
      </w:r>
      <w:r w:rsidR="006C2A2C">
        <w:t xml:space="preserve">vijek provjeriti punu verziju dostupnu </w:t>
      </w:r>
      <w:r>
        <w:t>na web stranici ESC.</w:t>
      </w:r>
    </w:p>
    <w:p w:rsidR="007814F3" w:rsidRDefault="007814F3" w:rsidP="008D6A1C"/>
    <w:p w:rsidR="007814F3" w:rsidRDefault="007814F3" w:rsidP="008D6A1C">
      <w:r>
        <w:t>2. Poremećaji metabolizma glukoze i kardiovaskularne bolesti</w:t>
      </w:r>
    </w:p>
    <w:p w:rsidR="007814F3" w:rsidRDefault="007814F3" w:rsidP="008D6A1C">
      <w:r>
        <w:t>2.1. Definicija, klasifikacija i dijagnoza</w:t>
      </w:r>
    </w:p>
    <w:p w:rsidR="007814F3" w:rsidRDefault="007814F3" w:rsidP="008D6A1C">
      <w:r>
        <w:t>Klasifikacija DM je zasnovana na preporukama Svjetske zdravstvene organizacije (WHO) i Američke dijabetološke asocijacije (ADA; tabela 1). Glikozilirani hemoglobin A1c (HbA1c) je preporučeni dijagnostički test za DM, ali i dalje ostaje zabrinutost oko senzitivnosti predikcije DM i činjenice da vrijednost &lt;6.5% ne isključuje DM.</w:t>
      </w:r>
    </w:p>
    <w:p w:rsidR="007814F3" w:rsidRDefault="003859BC" w:rsidP="008D6A1C">
      <w:r>
        <w:t>Tabela 1 poređenje 2006 WHO i 2003/2011 i 2012 ADA dijagnostičkih kriterijuma</w:t>
      </w:r>
    </w:p>
    <w:tbl>
      <w:tblPr>
        <w:tblStyle w:val="TableGrid"/>
        <w:tblW w:w="0" w:type="auto"/>
        <w:tblLook w:val="04A0" w:firstRow="1" w:lastRow="0" w:firstColumn="1" w:lastColumn="0" w:noHBand="0" w:noVBand="1"/>
      </w:tblPr>
      <w:tblGrid>
        <w:gridCol w:w="3096"/>
        <w:gridCol w:w="3096"/>
        <w:gridCol w:w="3096"/>
      </w:tblGrid>
      <w:tr w:rsidR="007814F3" w:rsidTr="007814F3">
        <w:tc>
          <w:tcPr>
            <w:tcW w:w="3096" w:type="dxa"/>
          </w:tcPr>
          <w:p w:rsidR="007814F3" w:rsidRDefault="007814F3" w:rsidP="008D6A1C">
            <w:r>
              <w:t>Dijagnostički parametri</w:t>
            </w:r>
          </w:p>
        </w:tc>
        <w:tc>
          <w:tcPr>
            <w:tcW w:w="3096" w:type="dxa"/>
          </w:tcPr>
          <w:p w:rsidR="007814F3" w:rsidRDefault="007814F3" w:rsidP="008D6A1C">
            <w:r>
              <w:t>WHO 2006/WHO 2011</w:t>
            </w:r>
          </w:p>
        </w:tc>
        <w:tc>
          <w:tcPr>
            <w:tcW w:w="3096" w:type="dxa"/>
          </w:tcPr>
          <w:p w:rsidR="007814F3" w:rsidRDefault="007814F3" w:rsidP="008D6A1C">
            <w:r>
              <w:t>ADA</w:t>
            </w:r>
          </w:p>
        </w:tc>
      </w:tr>
      <w:tr w:rsidR="007814F3" w:rsidTr="007814F3">
        <w:tc>
          <w:tcPr>
            <w:tcW w:w="3096" w:type="dxa"/>
          </w:tcPr>
          <w:p w:rsidR="007814F3" w:rsidRDefault="007814F3" w:rsidP="008D6A1C">
            <w:r>
              <w:t>Dijabetes</w:t>
            </w:r>
          </w:p>
          <w:p w:rsidR="007814F3" w:rsidRDefault="007814F3" w:rsidP="008D6A1C">
            <w:r>
              <w:t>HbA1c</w:t>
            </w:r>
          </w:p>
          <w:p w:rsidR="007814F3" w:rsidRDefault="007814F3" w:rsidP="008D6A1C"/>
          <w:p w:rsidR="007814F3" w:rsidRDefault="007814F3" w:rsidP="008D6A1C">
            <w:r>
              <w:t>FPG</w:t>
            </w:r>
          </w:p>
          <w:p w:rsidR="007814F3" w:rsidRDefault="007814F3" w:rsidP="008D6A1C"/>
          <w:p w:rsidR="007814F3" w:rsidRDefault="007814F3" w:rsidP="008D6A1C">
            <w:r>
              <w:t>2hPG</w:t>
            </w:r>
          </w:p>
        </w:tc>
        <w:tc>
          <w:tcPr>
            <w:tcW w:w="3096" w:type="dxa"/>
          </w:tcPr>
          <w:p w:rsidR="007814F3" w:rsidRDefault="007814F3" w:rsidP="008D6A1C"/>
          <w:p w:rsidR="007814F3" w:rsidRDefault="007814F3" w:rsidP="008D6A1C">
            <w:r>
              <w:t>Ako je &gt;6.5%</w:t>
            </w:r>
          </w:p>
          <w:p w:rsidR="007814F3" w:rsidRDefault="007814F3" w:rsidP="008D6A1C">
            <w:r>
              <w:t>(48mmol/mol)</w:t>
            </w:r>
          </w:p>
          <w:p w:rsidR="007814F3" w:rsidRDefault="007814F3" w:rsidP="008D6A1C">
            <w:r>
              <w:t>Preporučeno &gt;7.0mmol/L (126mg/dL)</w:t>
            </w:r>
          </w:p>
          <w:p w:rsidR="007814F3" w:rsidRDefault="007814F3" w:rsidP="008D6A1C">
            <w:r>
              <w:t>&gt;11,1mmol/L (&gt;200mg/dL)</w:t>
            </w:r>
          </w:p>
        </w:tc>
        <w:tc>
          <w:tcPr>
            <w:tcW w:w="3096" w:type="dxa"/>
          </w:tcPr>
          <w:p w:rsidR="007814F3" w:rsidRDefault="007814F3" w:rsidP="008D6A1C">
            <w:r>
              <w:t>Preporučeno</w:t>
            </w:r>
          </w:p>
          <w:p w:rsidR="007814F3" w:rsidRDefault="007814F3" w:rsidP="008D6A1C">
            <w:r>
              <w:t>&gt;6.5%</w:t>
            </w:r>
          </w:p>
          <w:p w:rsidR="00826D6D" w:rsidRDefault="00826D6D" w:rsidP="00826D6D">
            <w:r>
              <w:t>48mmol/mol)</w:t>
            </w:r>
          </w:p>
          <w:p w:rsidR="00826D6D" w:rsidRDefault="00826D6D" w:rsidP="00826D6D">
            <w:r>
              <w:t>Preporučeno &gt;7.0mmol/L (126mg/dL)</w:t>
            </w:r>
          </w:p>
          <w:p w:rsidR="007814F3" w:rsidRDefault="00826D6D" w:rsidP="00826D6D">
            <w:r>
              <w:t>&gt;11,1mmol/L (&gt;200mg/dL)</w:t>
            </w:r>
          </w:p>
        </w:tc>
      </w:tr>
      <w:tr w:rsidR="007814F3" w:rsidTr="007814F3">
        <w:tc>
          <w:tcPr>
            <w:tcW w:w="3096" w:type="dxa"/>
          </w:tcPr>
          <w:p w:rsidR="007814F3" w:rsidRDefault="00826D6D" w:rsidP="008D6A1C">
            <w:r>
              <w:t>IGT</w:t>
            </w:r>
          </w:p>
          <w:p w:rsidR="00826D6D" w:rsidRDefault="00826D6D" w:rsidP="008D6A1C">
            <w:r>
              <w:t>FPG</w:t>
            </w:r>
          </w:p>
          <w:p w:rsidR="00826D6D" w:rsidRDefault="00826D6D" w:rsidP="008D6A1C">
            <w:r>
              <w:t>2hPG</w:t>
            </w:r>
          </w:p>
          <w:p w:rsidR="00826D6D" w:rsidRDefault="00826D6D" w:rsidP="008D6A1C"/>
        </w:tc>
        <w:tc>
          <w:tcPr>
            <w:tcW w:w="3096" w:type="dxa"/>
          </w:tcPr>
          <w:p w:rsidR="007814F3" w:rsidRDefault="007814F3" w:rsidP="008D6A1C"/>
          <w:p w:rsidR="00826D6D" w:rsidRDefault="00826D6D" w:rsidP="008D6A1C">
            <w:r>
              <w:t xml:space="preserve">&lt;7mmol/L </w:t>
            </w:r>
            <w:r w:rsidR="003859BC">
              <w:t xml:space="preserve"> (126mg/dL)</w:t>
            </w:r>
          </w:p>
          <w:p w:rsidR="003859BC" w:rsidRDefault="003859BC" w:rsidP="008D6A1C">
            <w:r>
              <w:t>&gt;7.8&lt;11.1mmol/L</w:t>
            </w:r>
          </w:p>
          <w:p w:rsidR="003859BC" w:rsidRDefault="003859BC" w:rsidP="008D6A1C">
            <w:r>
              <w:t>(&gt;140&lt;200mg/dL)</w:t>
            </w:r>
          </w:p>
          <w:p w:rsidR="003859BC" w:rsidRDefault="003859BC" w:rsidP="008D6A1C"/>
        </w:tc>
        <w:tc>
          <w:tcPr>
            <w:tcW w:w="3096" w:type="dxa"/>
          </w:tcPr>
          <w:p w:rsidR="007814F3" w:rsidRDefault="007814F3" w:rsidP="008D6A1C"/>
          <w:p w:rsidR="003859BC" w:rsidRDefault="003859BC" w:rsidP="008D6A1C">
            <w:r w:rsidRPr="003859BC">
              <w:t>&lt;7mmol/L  (126mg/dL)</w:t>
            </w:r>
          </w:p>
          <w:p w:rsidR="003859BC" w:rsidRDefault="003859BC" w:rsidP="008D6A1C">
            <w:r>
              <w:t>Nije neophodno</w:t>
            </w:r>
          </w:p>
          <w:p w:rsidR="003859BC" w:rsidRDefault="003859BC" w:rsidP="008D6A1C">
            <w:r>
              <w:t>Ako je mjereno 7.8-11.0mmol/L</w:t>
            </w:r>
          </w:p>
          <w:p w:rsidR="003859BC" w:rsidRDefault="003859BC" w:rsidP="008D6A1C">
            <w:r>
              <w:t>140-198mmol/dL</w:t>
            </w:r>
          </w:p>
        </w:tc>
      </w:tr>
      <w:tr w:rsidR="007814F3" w:rsidTr="007814F3">
        <w:tc>
          <w:tcPr>
            <w:tcW w:w="3096" w:type="dxa"/>
          </w:tcPr>
          <w:p w:rsidR="007814F3" w:rsidRDefault="003859BC" w:rsidP="008D6A1C">
            <w:r>
              <w:t>IFG</w:t>
            </w:r>
          </w:p>
          <w:p w:rsidR="003859BC" w:rsidRDefault="003859BC" w:rsidP="008D6A1C">
            <w:r>
              <w:t>FPG</w:t>
            </w:r>
          </w:p>
          <w:p w:rsidR="003859BC" w:rsidRDefault="003859BC" w:rsidP="008D6A1C"/>
          <w:p w:rsidR="003859BC" w:rsidRDefault="003859BC" w:rsidP="008D6A1C">
            <w:r>
              <w:t>2hPG</w:t>
            </w:r>
          </w:p>
        </w:tc>
        <w:tc>
          <w:tcPr>
            <w:tcW w:w="3096" w:type="dxa"/>
          </w:tcPr>
          <w:p w:rsidR="007814F3" w:rsidRDefault="007814F3" w:rsidP="008D6A1C"/>
          <w:p w:rsidR="003859BC" w:rsidRDefault="003859BC" w:rsidP="008D6A1C">
            <w:r>
              <w:t xml:space="preserve">6.1-6.9mmol/L </w:t>
            </w:r>
          </w:p>
          <w:p w:rsidR="003859BC" w:rsidRDefault="003859BC" w:rsidP="008D6A1C">
            <w:r>
              <w:t>(110-125mg/dL)</w:t>
            </w:r>
          </w:p>
          <w:p w:rsidR="003859BC" w:rsidRDefault="003859BC" w:rsidP="008D6A1C">
            <w:r>
              <w:t>Ako je mjereno</w:t>
            </w:r>
          </w:p>
          <w:p w:rsidR="003859BC" w:rsidRDefault="003859BC" w:rsidP="008D6A1C">
            <w:r>
              <w:t>&lt;7.8mmol/L (&lt;140mg/dL)</w:t>
            </w:r>
          </w:p>
        </w:tc>
        <w:tc>
          <w:tcPr>
            <w:tcW w:w="3096" w:type="dxa"/>
          </w:tcPr>
          <w:p w:rsidR="007814F3" w:rsidRDefault="007814F3" w:rsidP="008D6A1C"/>
          <w:p w:rsidR="003859BC" w:rsidRDefault="003859BC" w:rsidP="008D6A1C">
            <w:r>
              <w:t>5.6-6.9mmol/L</w:t>
            </w:r>
          </w:p>
          <w:p w:rsidR="003859BC" w:rsidRDefault="003859BC" w:rsidP="008D6A1C">
            <w:r>
              <w:t>(100-125mg/dL)</w:t>
            </w:r>
          </w:p>
        </w:tc>
      </w:tr>
    </w:tbl>
    <w:p w:rsidR="007814F3" w:rsidRDefault="003859BC" w:rsidP="008D6A1C">
      <w:r>
        <w:lastRenderedPageBreak/>
        <w:t>2hPG: GUK 2 sata nakon administracije glukoze; ADA: Američka dijabetološka asocijacija; IGT: poremećena tolerancija glukoze; IFG: poremećaj glukoze pri gladovanju; WHO: Svjetska zdravstvena organizacija</w:t>
      </w:r>
    </w:p>
    <w:p w:rsidR="003859BC" w:rsidRDefault="003F3C39" w:rsidP="008D6A1C">
      <w:r>
        <w:t>2.2 Epi</w:t>
      </w:r>
      <w:r w:rsidR="003859BC">
        <w:t>demiologija</w:t>
      </w:r>
    </w:p>
    <w:p w:rsidR="00B46E8C" w:rsidRDefault="00B46E8C" w:rsidP="00DD31B2">
      <w:r>
        <w:t>G</w:t>
      </w:r>
      <w:r w:rsidRPr="00B46E8C">
        <w:t xml:space="preserve">lobalne procjene </w:t>
      </w:r>
      <w:r>
        <w:t>Međunarodne federacije</w:t>
      </w:r>
      <w:r w:rsidR="00DD31B2">
        <w:t xml:space="preserve"> za dijabetes (IDF) za 2011</w:t>
      </w:r>
      <w:r>
        <w:t>.</w:t>
      </w:r>
      <w:r w:rsidR="00DD31B2">
        <w:t xml:space="preserve"> ukazuju na to da 52 m</w:t>
      </w:r>
      <w:r>
        <w:t xml:space="preserve">iliona Evropljana u dobi </w:t>
      </w:r>
      <w:r w:rsidR="00DD31B2">
        <w:t xml:space="preserve"> 20-79 godina imaju DM, te da će </w:t>
      </w:r>
      <w:r>
        <w:t>se taj broj</w:t>
      </w:r>
      <w:r w:rsidR="00DD31B2">
        <w:t xml:space="preserve"> </w:t>
      </w:r>
      <w:r>
        <w:t xml:space="preserve">povećati na preko 64.000.000 do 2030. godine. Ukupno </w:t>
      </w:r>
      <w:r w:rsidR="00DD31B2">
        <w:t xml:space="preserve"> 281 milion muškaraca i </w:t>
      </w:r>
      <w:r w:rsidRPr="00B46E8C">
        <w:t xml:space="preserve">317.000.000 </w:t>
      </w:r>
      <w:r w:rsidR="00DD31B2">
        <w:t xml:space="preserve">žena širom svijeta </w:t>
      </w:r>
      <w:r>
        <w:t xml:space="preserve">je umrlo od </w:t>
      </w:r>
      <w:r w:rsidR="00DD31B2">
        <w:t xml:space="preserve">DM u 2011, </w:t>
      </w:r>
      <w:r>
        <w:t xml:space="preserve">i to </w:t>
      </w:r>
      <w:r w:rsidR="00DD31B2">
        <w:t>najviše od kardiovaskularnih obolj</w:t>
      </w:r>
      <w:r>
        <w:t>enja. Zdravstveni izdaci za DM u Europi su bili</w:t>
      </w:r>
      <w:r w:rsidR="00DD31B2">
        <w:t xml:space="preserve"> oko 75 milijardi eura u 2011, a predviđa se da će</w:t>
      </w:r>
      <w:r>
        <w:t xml:space="preserve"> se povećati na 90 milijardi do 2030. </w:t>
      </w:r>
    </w:p>
    <w:p w:rsidR="00DD31B2" w:rsidRDefault="00DD31B2" w:rsidP="00DD31B2">
      <w:r>
        <w:t xml:space="preserve">Dijagnoza DM </w:t>
      </w:r>
      <w:r w:rsidR="00B46E8C">
        <w:t xml:space="preserve">se zasniva </w:t>
      </w:r>
      <w:r>
        <w:t>na nivo</w:t>
      </w:r>
      <w:r w:rsidR="00B46E8C">
        <w:t>u</w:t>
      </w:r>
      <w:r>
        <w:t xml:space="preserve"> glukoze na kojem </w:t>
      </w:r>
      <w:r w:rsidR="00B46E8C">
        <w:t xml:space="preserve">se retinopatija </w:t>
      </w:r>
      <w:r>
        <w:t xml:space="preserve">javlja </w:t>
      </w:r>
      <w:r w:rsidR="00B46E8C">
        <w:t xml:space="preserve">ali makrovaskularne komplikacije, kao što su koronarne,  </w:t>
      </w:r>
      <w:r>
        <w:t>cerebrovaskularn</w:t>
      </w:r>
      <w:r w:rsidR="00B46E8C">
        <w:t xml:space="preserve">e bolesti perifernih arterija </w:t>
      </w:r>
      <w:r>
        <w:t xml:space="preserve">(PAD) </w:t>
      </w:r>
      <w:r w:rsidR="00B46E8C">
        <w:t>se javljaju ranije i često su prisutne i kada se dijagnostikuje</w:t>
      </w:r>
      <w:r>
        <w:t xml:space="preserve"> tip 2 diabetes mellitus</w:t>
      </w:r>
      <w:r w:rsidR="00B46E8C">
        <w:t xml:space="preserve">-a (DM tip 2) </w:t>
      </w:r>
      <w:r>
        <w:t>koristeći</w:t>
      </w:r>
      <w:r w:rsidR="00B46E8C">
        <w:t xml:space="preserve"> trenutni glikemijski kriteriji</w:t>
      </w:r>
      <w:r>
        <w:t>a, a</w:t>
      </w:r>
      <w:r w:rsidR="00B46E8C">
        <w:t xml:space="preserve"> preko 60% osoba sa DM tip 2 razvije</w:t>
      </w:r>
      <w:r>
        <w:t xml:space="preserve"> </w:t>
      </w:r>
      <w:r w:rsidR="00C9499B">
        <w:t>CVD</w:t>
      </w:r>
      <w:r>
        <w:t xml:space="preserve">. </w:t>
      </w:r>
    </w:p>
    <w:p w:rsidR="00DD31B2" w:rsidRDefault="00DD31B2" w:rsidP="00F87E82">
      <w:r>
        <w:t>Di</w:t>
      </w:r>
      <w:r w:rsidR="00B46E8C">
        <w:t>j</w:t>
      </w:r>
      <w:r>
        <w:t>abetes</w:t>
      </w:r>
      <w:r w:rsidR="00B46E8C">
        <w:t>na</w:t>
      </w:r>
      <w:r>
        <w:t xml:space="preserve"> Epi</w:t>
      </w:r>
      <w:r w:rsidR="00B46E8C">
        <w:t>demiologija: Kolaborativna analiza dijagnostičkih kriterijuma u Evropi (DECODE) studija (figura 1) bilježi podatke o poremećajima metabolizma glukoze u evropskim populacijama različitog uzrasta</w:t>
      </w:r>
      <w:r w:rsidR="00F87E82">
        <w:t>. Doživotni rizik za DM je 30-40% a prevalenca poremećaja tolerancije glukoze (IGT) se povećava linearno od oko 15% u srednjim godinama do 35-40% kod starijih evropljana.</w:t>
      </w:r>
      <w:r w:rsidR="00B46E8C">
        <w:t xml:space="preserve"> </w:t>
      </w:r>
    </w:p>
    <w:p w:rsidR="00F87E82" w:rsidRDefault="00F87E82" w:rsidP="00F87E82">
      <w:r>
        <w:t xml:space="preserve">Figura 1: </w:t>
      </w:r>
      <w:r w:rsidR="00F350F6">
        <w:t>srednje koncentracije našte (donje dvije linije) i 2hPG (dvije gornje linije), (95% intervali pouzdanosti pokazani na vertikalnoj liniji) u 13 kohorti- baziranih na evropskim</w:t>
      </w:r>
      <w:r w:rsidR="00B53C96">
        <w:t xml:space="preserve"> populacijama uključenim u DECODE studiju. Srednja 2hPG raste naročito nakon pedesete godine. Žene imaju signifikantno višu srednju 2hPG koncentraciju u odnosu na muškarce, a ta razlika potaje još izraženija nakon sedamdesete godine. Srednje FPG vrijednosti blago rastu sa godinama. FPG: GUK našte; 2hPG: GUK 2h nakon aplikacije glukoze.</w:t>
      </w:r>
    </w:p>
    <w:p w:rsidR="00B53C96" w:rsidRDefault="00EE6C25" w:rsidP="00F87E82">
      <w:r>
        <w:t>2.3 Skrinig</w:t>
      </w:r>
      <w:r w:rsidR="00B53C96">
        <w:t xml:space="preserve"> poremećaja metabolizma glukoze</w:t>
      </w:r>
    </w:p>
    <w:p w:rsidR="00EE6C25" w:rsidRDefault="00EE6C25" w:rsidP="00F87E82">
      <w:r>
        <w:t xml:space="preserve">Postoji povećan interes za identifikaciju ljudi sa IGT, kako mnogi razviju DM tip 2 a takva progresija se može usporiti promjenama životnog stila. Vjerovatnost lažno negativnog </w:t>
      </w:r>
      <w:r w:rsidR="003F3C39">
        <w:t xml:space="preserve"> </w:t>
      </w:r>
      <w:r>
        <w:t xml:space="preserve"> rezultata u poređenju sa oralnim glukoza tolerans testom (OGTT) je značajna kada se pokuša detektovati DM mjerenjem samo GUK-a našte (FPG) i/ili HbA1c. Nekoliko bodovnih sistema za procjenu rizika</w:t>
      </w:r>
      <w:r w:rsidR="00AF555F">
        <w:t xml:space="preserve"> je razvijeno, od kojih većina funkcioniše dobro. Finski dijabetesni bodovni sistem (FINDRISC; </w:t>
      </w:r>
      <w:hyperlink r:id="rId7" w:history="1">
        <w:r w:rsidR="00AF555F" w:rsidRPr="00780CEC">
          <w:rPr>
            <w:rStyle w:val="Hyperlink"/>
          </w:rPr>
          <w:t>www.diabetes.fi/english</w:t>
        </w:r>
      </w:hyperlink>
      <w:r w:rsidR="00AF555F">
        <w:t>) se najčešće koristi</w:t>
      </w:r>
      <w:r w:rsidR="003C252E">
        <w:t xml:space="preserve"> u Evropi. To je alat koji predviđa desetogodišnji rizik od DM tip2 uključujući asimptomatski DM i IGT sa 85%tačnošću. Provjeren je u evropskim populacijama i dostupan je na većini evropskih jezika. Postoje tri kohorte koje razmatraju gdje je neophodan skrining; opštoj populaciji, među onima sa abnormalnostima (gojaznost, hipertenzija, porodična istorija DM) ili među pacijentima sa </w:t>
      </w:r>
      <w:r w:rsidR="00C9499B">
        <w:t>CVD</w:t>
      </w:r>
      <w:r w:rsidR="003C252E">
        <w:t xml:space="preserve">. U opštoj populaciji, adekvatna skrining strategija </w:t>
      </w:r>
      <w:r w:rsidR="00C42B78">
        <w:t xml:space="preserve">je početi sa bodovnim sistemom za procjenu rizika te ispitati pojednice sa visokom vrijednošću HbA1c i/ili FPG. Kod </w:t>
      </w:r>
      <w:r w:rsidR="00C9499B">
        <w:t>CVD</w:t>
      </w:r>
      <w:r w:rsidR="00C42B78">
        <w:t xml:space="preserve"> pacijenata bodovni sistem nije potreban ali indikovan je OGTT ako su HbA1c i/ili FPG nedoslijedni/normalni jer se kod ovakvih osoba često DM otkriva tek pri 2hPG.</w:t>
      </w:r>
    </w:p>
    <w:p w:rsidR="00C42B78" w:rsidRDefault="00C42B78" w:rsidP="00F87E82"/>
    <w:p w:rsidR="00C42B78" w:rsidRDefault="00C42B78" w:rsidP="00F87E82">
      <w:r>
        <w:t>2.4 Poremećaji metabolizma glukoze i kardiovaskularne bolesti</w:t>
      </w:r>
    </w:p>
    <w:p w:rsidR="00943D52" w:rsidRDefault="00943D52" w:rsidP="00943D52">
      <w:r>
        <w:lastRenderedPageBreak/>
        <w:t xml:space="preserve">Najuvjerljiviji dokaz da je poremećaj metabolizma glukoze faktor rizika za </w:t>
      </w:r>
      <w:r w:rsidR="00C9499B">
        <w:t>CVD</w:t>
      </w:r>
      <w:r>
        <w:t xml:space="preserve"> je osigurala Europska DECODE studija.</w:t>
      </w:r>
      <w:r w:rsidR="00A75DB8">
        <w:t xml:space="preserve"> Povećan</w:t>
      </w:r>
      <w:r>
        <w:t xml:space="preserve"> mortalitet</w:t>
      </w:r>
      <w:r w:rsidR="00A75DB8">
        <w:t xml:space="preserve"> je uočen  u DM i IGT, ali </w:t>
      </w:r>
      <w:r>
        <w:t xml:space="preserve">ne </w:t>
      </w:r>
      <w:r w:rsidR="00A75DB8">
        <w:t xml:space="preserve">i u </w:t>
      </w:r>
      <w:r>
        <w:t>poremećaj</w:t>
      </w:r>
      <w:r w:rsidR="00962CA7">
        <w:t>u</w:t>
      </w:r>
      <w:r>
        <w:t xml:space="preserve"> glukoze</w:t>
      </w:r>
      <w:r w:rsidR="00A75DB8">
        <w:t xml:space="preserve"> našte (IFG). Visok 2hPG predviđa</w:t>
      </w:r>
      <w:r>
        <w:t xml:space="preserve"> </w:t>
      </w:r>
      <w:r w:rsidR="00A75DB8">
        <w:t>mortalitet svih uzroka i mortalitet od</w:t>
      </w:r>
      <w:r>
        <w:t xml:space="preserve"> </w:t>
      </w:r>
      <w:r w:rsidR="00C9499B">
        <w:t>CVD</w:t>
      </w:r>
      <w:r>
        <w:t xml:space="preserve"> nakon podešavanja za </w:t>
      </w:r>
      <w:r w:rsidR="00A75DB8">
        <w:t>ostale velike kardiovaskularne faktori rizika, a visok FPG sam</w:t>
      </w:r>
      <w:r>
        <w:t xml:space="preserve"> </w:t>
      </w:r>
      <w:r w:rsidR="00A75DB8">
        <w:t xml:space="preserve">po sebi nije prediktivan kada je 2hPG uzet u obzir. Najveća smrtnosti od </w:t>
      </w:r>
      <w:r w:rsidR="00C9499B">
        <w:t>CVD</w:t>
      </w:r>
      <w:r w:rsidR="00A75DB8">
        <w:t xml:space="preserve"> u stanovništvu je</w:t>
      </w:r>
      <w:r>
        <w:t xml:space="preserve"> uočen ko</w:t>
      </w:r>
      <w:r w:rsidR="00A75DB8">
        <w:t xml:space="preserve">d osoba sa IGT, posebno onih s normalnim FPG. </w:t>
      </w:r>
      <w:r>
        <w:t>Odnos između 2hPG i mortalitet</w:t>
      </w:r>
      <w:r w:rsidR="00A75DB8">
        <w:t>a</w:t>
      </w:r>
      <w:r>
        <w:t xml:space="preserve"> je </w:t>
      </w:r>
      <w:r w:rsidR="00A75DB8">
        <w:t>linearan</w:t>
      </w:r>
      <w:r>
        <w:t xml:space="preserve"> (slika 2). </w:t>
      </w:r>
    </w:p>
    <w:p w:rsidR="00962CA7" w:rsidRDefault="00962CA7" w:rsidP="00943D52"/>
    <w:p w:rsidR="00943D52" w:rsidRDefault="00943D52" w:rsidP="00943D52">
      <w:r>
        <w:t xml:space="preserve">Nekoliko studija </w:t>
      </w:r>
      <w:r w:rsidR="00A75DB8">
        <w:t xml:space="preserve">pokazuju da je povećanje HbA1c povezan sa povećanjem </w:t>
      </w:r>
      <w:r w:rsidR="00C9499B">
        <w:t>CVD</w:t>
      </w:r>
      <w:r w:rsidR="00A75DB8">
        <w:t xml:space="preserve"> rizika. Studije koje su poredile sva tri glikemijska </w:t>
      </w:r>
      <w:r>
        <w:t>parametara (F</w:t>
      </w:r>
      <w:r w:rsidR="00A75DB8">
        <w:t xml:space="preserve">PG, 2hPG i HbA1c) za mortalitet i rizik za </w:t>
      </w:r>
      <w:r w:rsidR="00C9499B">
        <w:t>CVD</w:t>
      </w:r>
      <w:r w:rsidR="00A75DB8">
        <w:t xml:space="preserve"> je otkrio da je veza najjača</w:t>
      </w:r>
      <w:r>
        <w:t xml:space="preserve"> za 2hPG</w:t>
      </w:r>
      <w:r w:rsidR="00A75DB8">
        <w:t xml:space="preserve">, i da je najjači  rizik </w:t>
      </w:r>
      <w:r>
        <w:t>posmatrati sa FPG i HbA1c nije značajan nakon kon</w:t>
      </w:r>
      <w:r w:rsidR="00A75DB8">
        <w:t>trole sa efek</w:t>
      </w:r>
      <w:r>
        <w:t>t</w:t>
      </w:r>
      <w:r w:rsidR="00A75DB8">
        <w:t>om 2hPG.</w:t>
      </w:r>
    </w:p>
    <w:p w:rsidR="00C42B78" w:rsidRDefault="00962CA7" w:rsidP="00A5068A">
      <w:r>
        <w:t>Pregled uti</w:t>
      </w:r>
      <w:r w:rsidR="00A75DB8">
        <w:t xml:space="preserve">caja pola na pojavu koronarne </w:t>
      </w:r>
      <w:r w:rsidR="00943D52">
        <w:t>arterijske bo</w:t>
      </w:r>
      <w:r>
        <w:t>lesti (CAD) smrtnosti izvještava</w:t>
      </w:r>
      <w:r w:rsidR="00943D52">
        <w:t xml:space="preserve"> da je uku</w:t>
      </w:r>
      <w:r>
        <w:t>pni relativni</w:t>
      </w:r>
      <w:r w:rsidR="00943D52">
        <w:t xml:space="preserve"> rizik </w:t>
      </w:r>
      <w:r>
        <w:t xml:space="preserve">(omjer rizika kod žena i kod muškaraca) bio </w:t>
      </w:r>
      <w:r w:rsidR="00943D52">
        <w:t xml:space="preserve"> 1.46 [95% interval </w:t>
      </w:r>
      <w:r>
        <w:t xml:space="preserve">pouzdanosti kod osoba s DM i 2,29 (95% interval poudanosti) </w:t>
      </w:r>
      <w:r w:rsidR="00943D52">
        <w:t>u</w:t>
      </w:r>
      <w:r>
        <w:t xml:space="preserve"> onih</w:t>
      </w:r>
      <w:r w:rsidR="00943D52">
        <w:t xml:space="preserve"> bez, uk</w:t>
      </w:r>
      <w:r>
        <w:t xml:space="preserve">azuje na to da se poznati rodni diferencijal u CAD-u </w:t>
      </w:r>
      <w:r w:rsidR="00943D52">
        <w:t xml:space="preserve"> smanjuje u DM.</w:t>
      </w:r>
      <w:r>
        <w:t xml:space="preserve"> </w:t>
      </w:r>
      <w:r w:rsidR="00943D52">
        <w:t>Meta-analiza 37</w:t>
      </w:r>
      <w:r w:rsidR="004C3DF6">
        <w:t xml:space="preserve"> prospektivnih kohortnih studija (n:</w:t>
      </w:r>
      <w:r w:rsidR="00943D52">
        <w:t xml:space="preserve"> 447 </w:t>
      </w:r>
      <w:r w:rsidR="004C3DF6">
        <w:t xml:space="preserve">064 DM pacijenata) procijenjuje </w:t>
      </w:r>
      <w:r w:rsidR="00943D52">
        <w:t xml:space="preserve">rizik </w:t>
      </w:r>
      <w:r w:rsidR="004C3DF6">
        <w:t>u vezi pola od fatalne CAD i prijavljuje</w:t>
      </w:r>
      <w:r w:rsidR="00943D52">
        <w:t xml:space="preserve"> veću smrtnost u bolesnika s DM od onih bez (5,4 u odnosu na 1,6%, respektivno).</w:t>
      </w:r>
      <w:r w:rsidR="00A5068A">
        <w:t xml:space="preserve"> Relativni rizik u DM je signifikantno viši među ženama(3,50) nego kod muškaraca (2.06). Nedavna studija pokazala je veći štetni  uticaj DM-a na gojaznost, homeostatički model procjene-inzulinske rezistencije (HOMA-IR) , krvni pritisak, lipide, endotelne disfunkcije,  i sistemske upale kod žena nego kod muškaraca, što može doprinijeti njihovom većem relativnom riziku od CAD-a.Takođe, čini se da se žene više ugoje prije razvoja dijabetesa i shodno tome prolaze kroz veće promjene u riziko faktor status</w:t>
      </w:r>
      <w:r w:rsidR="000166C5">
        <w:t>u</w:t>
      </w:r>
      <w:r w:rsidR="00A5068A">
        <w:t>.</w:t>
      </w:r>
    </w:p>
    <w:p w:rsidR="00A5068A" w:rsidRDefault="00A5068A" w:rsidP="00A5068A">
      <w:r>
        <w:t xml:space="preserve">Figura 2 Omjeri opasnosti i intervali pouzdanosti 95% (vertikalne linije) za mortalitet od </w:t>
      </w:r>
      <w:r w:rsidR="00C9499B">
        <w:t>CVD</w:t>
      </w:r>
      <w:r>
        <w:t xml:space="preserve"> za FPG (iscrtani stupci) i 2hPG </w:t>
      </w:r>
      <w:r w:rsidR="00EF3665">
        <w:t>(isprekidani stupci ) intervali koristeči prethodno dijagnostikovanoi</w:t>
      </w:r>
      <w:r>
        <w:t xml:space="preserve"> </w:t>
      </w:r>
      <w:r w:rsidR="00EF3665">
        <w:t>DM (tamni stupci) kao zajedničku referentnu kategoriju</w:t>
      </w:r>
      <w:r>
        <w:t>. Podaci su prilagođeni za dob, pol, kohortu, indek</w:t>
      </w:r>
      <w:r w:rsidR="00EF3665">
        <w:t>s tjelesne mase, sistolni krvni pritisak, ukupni holesterol, i pušenje.</w:t>
      </w:r>
      <w:r w:rsidR="00C9499B">
        <w:t>CVD</w:t>
      </w:r>
      <w:r w:rsidR="00EF3665">
        <w:t xml:space="preserve"> : kardiovaskularne bolesti; DM: diabetes mellitus; FPG ¼ </w:t>
      </w:r>
      <w:r>
        <w:t xml:space="preserve"> glukoze u plazmi</w:t>
      </w:r>
      <w:r w:rsidR="00EF3665">
        <w:t xml:space="preserve"> našte; 2hPG :2-h nakon opterećenja glukoza</w:t>
      </w:r>
      <w:r>
        <w:t xml:space="preserve"> u plazmi.</w:t>
      </w:r>
    </w:p>
    <w:p w:rsidR="00787B3B" w:rsidRDefault="00787B3B" w:rsidP="00787B3B">
      <w:r>
        <w:t>2.5 Odlaganje konverzije u tip 2 dijabetesa</w:t>
      </w:r>
    </w:p>
    <w:p w:rsidR="00846DCD" w:rsidRDefault="00787B3B" w:rsidP="00846DCD">
      <w:r>
        <w:t xml:space="preserve">Prehrambene navike i </w:t>
      </w:r>
      <w:r w:rsidRPr="00787B3B">
        <w:t xml:space="preserve">sedenteran </w:t>
      </w:r>
      <w:r>
        <w:t xml:space="preserve">stil života su od velikog značaja u razvoju T2 DM-A. Randomizovane kliničke studije (RCT) pokazuju da modifikacije načina života, bazirane na skromnom gubitaku težine i povećanoj fizičkoj aktivnosti, spriječava ili odlagađa progresijuu visokorizičnih pojedinaca s IGT. Osobama sa visokim rizikom od DM tip 2 i / ili sa utvrđenim IGT treba dati odgovarajuće savjete o načinu života. Apsolutno smanjenja rizika je u oko 15-20 slučajeva na 100 osoba godišnje. Kongestivno otkazivanje srca (CHF) u šest osoba visokog rizika za 3 godine će spriječiti jedan slučaj DM.  12-godišnje praćenje muškaraca sa IGT koji su učestvovali u Malmo </w:t>
      </w:r>
      <w:r w:rsidR="0009461F">
        <w:t xml:space="preserve">studiji izvodljivosti </w:t>
      </w:r>
      <w:r>
        <w:t>je otkri</w:t>
      </w:r>
      <w:r w:rsidR="0009461F">
        <w:t>lo da ukupni mortalitet</w:t>
      </w:r>
      <w:r>
        <w:t xml:space="preserve"> među muškarcima u </w:t>
      </w:r>
      <w:r w:rsidR="0009461F">
        <w:t>grupi sa intervencijom u načinu života</w:t>
      </w:r>
      <w:r>
        <w:t xml:space="preserve"> je bila niža</w:t>
      </w:r>
      <w:r w:rsidR="0009461F">
        <w:t xml:space="preserve"> (i sličan onom kod muškaraca s </w:t>
      </w:r>
      <w:r>
        <w:t>normalno</w:t>
      </w:r>
      <w:r w:rsidR="0009461F">
        <w:t>m</w:t>
      </w:r>
      <w:r>
        <w:t xml:space="preserve"> tolerancije glukoze) ne</w:t>
      </w:r>
      <w:r w:rsidR="0009461F">
        <w:t>go kod muškaraca koji su dobili 'rutinski tretman i njegu</w:t>
      </w:r>
      <w:r>
        <w:t>' (6,5 naspram 6,4 na 10</w:t>
      </w:r>
      <w:r w:rsidR="0009461F">
        <w:t>00 osoba godišnje u riziku; P=</w:t>
      </w:r>
      <w:r>
        <w:t xml:space="preserve">0.009). U kineskoj Da Qing studije, </w:t>
      </w:r>
      <w:r w:rsidR="0009461F">
        <w:t xml:space="preserve">39 učesnika sa IGT u 6-godišnjoj grupi intervencije na životni stil, je imala 20 godina kasnije perzistentnu redukciju incidence DM tip 2 i nesignifikantnu redukciju od 17% u smrtnim ishodima od </w:t>
      </w:r>
      <w:r w:rsidR="00C9499B">
        <w:t>CVD</w:t>
      </w:r>
      <w:r w:rsidR="0009461F">
        <w:t xml:space="preserve"> dok je prilagođena incidenca teške retinopatije bila 47% niža.</w:t>
      </w:r>
      <w:r w:rsidR="00846DCD" w:rsidRPr="00846DCD">
        <w:t xml:space="preserve"> </w:t>
      </w:r>
      <w:r w:rsidR="00846DCD">
        <w:t xml:space="preserve">U </w:t>
      </w:r>
      <w:r w:rsidR="00846DCD">
        <w:lastRenderedPageBreak/>
        <w:t xml:space="preserve">10-godišnjem praćenju Finske studije prevencije dijabetesa (DPS), ukupni mortalitet i incidencije kardiovaskularnih oboljenja nisu bili različiti izmeđugrupe sa intervencijom i kontrolne grupe, ali su DPS učesnici, koji su imali IGT na početku, imali niži mortalitet i incidencu </w:t>
      </w:r>
      <w:r w:rsidR="00C9499B">
        <w:t>CVD</w:t>
      </w:r>
      <w:r w:rsidR="00846DCD">
        <w:t xml:space="preserve"> u poređenju sa kohortom baziranoj na finskoj populaciji sa IGT. </w:t>
      </w:r>
    </w:p>
    <w:p w:rsidR="00846DCD" w:rsidRDefault="00846DCD" w:rsidP="00846DCD"/>
    <w:p w:rsidR="000166C5" w:rsidRDefault="00846DCD" w:rsidP="00846DCD">
      <w:r>
        <w:t>Preporuke za dijagnozu poremećaja metabolizma glukoze</w:t>
      </w:r>
    </w:p>
    <w:tbl>
      <w:tblPr>
        <w:tblStyle w:val="TableGrid"/>
        <w:tblW w:w="0" w:type="auto"/>
        <w:tblLook w:val="04A0" w:firstRow="1" w:lastRow="0" w:firstColumn="1" w:lastColumn="0" w:noHBand="0" w:noVBand="1"/>
      </w:tblPr>
      <w:tblGrid>
        <w:gridCol w:w="2322"/>
        <w:gridCol w:w="2322"/>
        <w:gridCol w:w="2322"/>
        <w:gridCol w:w="2322"/>
      </w:tblGrid>
      <w:tr w:rsidR="00846DCD" w:rsidTr="00846DCD">
        <w:tc>
          <w:tcPr>
            <w:tcW w:w="2322" w:type="dxa"/>
          </w:tcPr>
          <w:p w:rsidR="00846DCD" w:rsidRDefault="00846DCD" w:rsidP="00846DCD">
            <w:r>
              <w:t>Preporuke</w:t>
            </w:r>
          </w:p>
        </w:tc>
        <w:tc>
          <w:tcPr>
            <w:tcW w:w="2322" w:type="dxa"/>
          </w:tcPr>
          <w:p w:rsidR="00846DCD" w:rsidRDefault="00846DCD" w:rsidP="00846DCD">
            <w:r>
              <w:t>Klasa</w:t>
            </w:r>
          </w:p>
        </w:tc>
        <w:tc>
          <w:tcPr>
            <w:tcW w:w="2322" w:type="dxa"/>
          </w:tcPr>
          <w:p w:rsidR="00846DCD" w:rsidRDefault="00846DCD" w:rsidP="00846DCD">
            <w:r>
              <w:t>Nivo</w:t>
            </w:r>
          </w:p>
        </w:tc>
        <w:tc>
          <w:tcPr>
            <w:tcW w:w="2322" w:type="dxa"/>
          </w:tcPr>
          <w:p w:rsidR="00846DCD" w:rsidRDefault="00846DCD" w:rsidP="00846DCD">
            <w:r>
              <w:t>Referentne</w:t>
            </w:r>
          </w:p>
        </w:tc>
      </w:tr>
      <w:tr w:rsidR="00846DCD" w:rsidTr="00846DCD">
        <w:tc>
          <w:tcPr>
            <w:tcW w:w="2322" w:type="dxa"/>
          </w:tcPr>
          <w:p w:rsidR="00846DCD" w:rsidRDefault="00846DCD" w:rsidP="00846DCD">
            <w:r>
              <w:t>Preporučeno je da dijagnoza dijabetesa bazirana na HbA1c i FPG kombinovana sa ili na OGTT je još uvijek pod znakom pitanja</w:t>
            </w:r>
          </w:p>
        </w:tc>
        <w:tc>
          <w:tcPr>
            <w:tcW w:w="2322" w:type="dxa"/>
          </w:tcPr>
          <w:p w:rsidR="00846DCD" w:rsidRDefault="00846DCD" w:rsidP="00846DCD">
            <w:r>
              <w:t>I</w:t>
            </w:r>
          </w:p>
          <w:p w:rsidR="00846DCD" w:rsidRDefault="00846DCD" w:rsidP="00846DCD"/>
          <w:p w:rsidR="00846DCD" w:rsidRDefault="00846DCD" w:rsidP="00846DCD"/>
          <w:p w:rsidR="00846DCD" w:rsidRDefault="00846DCD" w:rsidP="00846DCD">
            <w:r>
              <w:t xml:space="preserve">  </w:t>
            </w:r>
          </w:p>
        </w:tc>
        <w:tc>
          <w:tcPr>
            <w:tcW w:w="2322" w:type="dxa"/>
          </w:tcPr>
          <w:p w:rsidR="00846DCD" w:rsidRDefault="00846DCD" w:rsidP="00846DCD">
            <w:r>
              <w:t>B</w:t>
            </w:r>
          </w:p>
        </w:tc>
        <w:tc>
          <w:tcPr>
            <w:tcW w:w="2322" w:type="dxa"/>
          </w:tcPr>
          <w:p w:rsidR="00846DCD" w:rsidRDefault="00846DCD" w:rsidP="00846DCD">
            <w:r>
              <w:t>1-4,7,9</w:t>
            </w:r>
          </w:p>
        </w:tc>
      </w:tr>
      <w:tr w:rsidR="00846DCD" w:rsidTr="00846DCD">
        <w:tc>
          <w:tcPr>
            <w:tcW w:w="2322" w:type="dxa"/>
          </w:tcPr>
          <w:p w:rsidR="00846DCD" w:rsidRDefault="00846DCD" w:rsidP="00846DCD">
            <w:r>
              <w:t>Preporučeno je se koristi OGTT za postavljanje dijagnoze IGT</w:t>
            </w:r>
          </w:p>
        </w:tc>
        <w:tc>
          <w:tcPr>
            <w:tcW w:w="2322" w:type="dxa"/>
          </w:tcPr>
          <w:p w:rsidR="00846DCD" w:rsidRDefault="00846DCD" w:rsidP="00846DCD">
            <w:r>
              <w:t>I</w:t>
            </w:r>
          </w:p>
        </w:tc>
        <w:tc>
          <w:tcPr>
            <w:tcW w:w="2322" w:type="dxa"/>
          </w:tcPr>
          <w:p w:rsidR="00846DCD" w:rsidRDefault="00846DCD" w:rsidP="00846DCD">
            <w:r>
              <w:t>B</w:t>
            </w:r>
          </w:p>
        </w:tc>
        <w:tc>
          <w:tcPr>
            <w:tcW w:w="2322" w:type="dxa"/>
          </w:tcPr>
          <w:p w:rsidR="00846DCD" w:rsidRDefault="00846DCD" w:rsidP="00846DCD">
            <w:r>
              <w:t>1-4,7,9</w:t>
            </w:r>
          </w:p>
        </w:tc>
      </w:tr>
      <w:tr w:rsidR="00846DCD" w:rsidTr="00846DCD">
        <w:tc>
          <w:tcPr>
            <w:tcW w:w="2322" w:type="dxa"/>
          </w:tcPr>
          <w:p w:rsidR="00846DCD" w:rsidRDefault="00846DCD" w:rsidP="00846DCD">
            <w:r>
              <w:t xml:space="preserve">Preporučeno je da se skrining na potencijalni DM tip 2 kod ljudi sa </w:t>
            </w:r>
            <w:r w:rsidR="00C9499B">
              <w:t>CVD</w:t>
            </w:r>
            <w:r>
              <w:t xml:space="preserve"> počne sa HbA1c i FPG i da se OGTT doda ako su navedeni </w:t>
            </w:r>
            <w:r w:rsidR="006E1032">
              <w:t>neodređeni</w:t>
            </w:r>
          </w:p>
        </w:tc>
        <w:tc>
          <w:tcPr>
            <w:tcW w:w="2322" w:type="dxa"/>
          </w:tcPr>
          <w:p w:rsidR="00846DCD" w:rsidRDefault="009E28CE" w:rsidP="00846DCD">
            <w:r>
              <w:t>I</w:t>
            </w:r>
          </w:p>
        </w:tc>
        <w:tc>
          <w:tcPr>
            <w:tcW w:w="2322" w:type="dxa"/>
          </w:tcPr>
          <w:p w:rsidR="00846DCD" w:rsidRDefault="009E28CE" w:rsidP="00846DCD">
            <w:r>
              <w:t>A</w:t>
            </w:r>
          </w:p>
        </w:tc>
        <w:tc>
          <w:tcPr>
            <w:tcW w:w="2322" w:type="dxa"/>
          </w:tcPr>
          <w:p w:rsidR="00846DCD" w:rsidRDefault="009E28CE" w:rsidP="00846DCD">
            <w:r>
              <w:t>19,20,35</w:t>
            </w:r>
          </w:p>
        </w:tc>
      </w:tr>
      <w:tr w:rsidR="00846DCD" w:rsidTr="00846DCD">
        <w:tc>
          <w:tcPr>
            <w:tcW w:w="2322" w:type="dxa"/>
          </w:tcPr>
          <w:p w:rsidR="00846DCD" w:rsidRDefault="009E28CE" w:rsidP="00846DCD">
            <w:r>
              <w:t>Posebna pažnja se treba obratiti na primjenjivanje preventivnih mjera kod žena sa poremećajem metabolizma glukoze</w:t>
            </w:r>
          </w:p>
        </w:tc>
        <w:tc>
          <w:tcPr>
            <w:tcW w:w="2322" w:type="dxa"/>
          </w:tcPr>
          <w:p w:rsidR="00846DCD" w:rsidRDefault="009E28CE" w:rsidP="00846DCD">
            <w:r>
              <w:t>Iia</w:t>
            </w:r>
          </w:p>
        </w:tc>
        <w:tc>
          <w:tcPr>
            <w:tcW w:w="2322" w:type="dxa"/>
          </w:tcPr>
          <w:p w:rsidR="00846DCD" w:rsidRDefault="009E28CE" w:rsidP="00846DCD">
            <w:r>
              <w:t>C</w:t>
            </w:r>
          </w:p>
        </w:tc>
        <w:tc>
          <w:tcPr>
            <w:tcW w:w="2322" w:type="dxa"/>
          </w:tcPr>
          <w:p w:rsidR="00846DCD" w:rsidRDefault="009E28CE" w:rsidP="00846DCD">
            <w:r>
              <w:t>-</w:t>
            </w:r>
          </w:p>
        </w:tc>
      </w:tr>
      <w:tr w:rsidR="00846DCD" w:rsidTr="00846DCD">
        <w:tc>
          <w:tcPr>
            <w:tcW w:w="2322" w:type="dxa"/>
          </w:tcPr>
          <w:p w:rsidR="00846DCD" w:rsidRDefault="009E28CE" w:rsidP="00846DCD">
            <w:r>
              <w:t>Preporučeno je da se ljudima sa visokim rizikom za DM tip 2 pruži savjetovanje u vezi sa promjenama životnog stila kako bi se rizik smanjio</w:t>
            </w:r>
          </w:p>
        </w:tc>
        <w:tc>
          <w:tcPr>
            <w:tcW w:w="2322" w:type="dxa"/>
          </w:tcPr>
          <w:p w:rsidR="00846DCD" w:rsidRDefault="009E28CE" w:rsidP="00846DCD">
            <w:r>
              <w:t>I</w:t>
            </w:r>
          </w:p>
        </w:tc>
        <w:tc>
          <w:tcPr>
            <w:tcW w:w="2322" w:type="dxa"/>
          </w:tcPr>
          <w:p w:rsidR="00846DCD" w:rsidRDefault="009E28CE" w:rsidP="00846DCD">
            <w:r>
              <w:t>A</w:t>
            </w:r>
          </w:p>
        </w:tc>
        <w:tc>
          <w:tcPr>
            <w:tcW w:w="2322" w:type="dxa"/>
          </w:tcPr>
          <w:p w:rsidR="00846DCD" w:rsidRDefault="009E28CE" w:rsidP="00846DCD">
            <w:r>
              <w:t>36,37</w:t>
            </w:r>
          </w:p>
        </w:tc>
      </w:tr>
    </w:tbl>
    <w:p w:rsidR="00846DCD" w:rsidRDefault="00C9499B" w:rsidP="00846DCD">
      <w:r>
        <w:t>CVD</w:t>
      </w:r>
      <w:r w:rsidR="009E28CE">
        <w:t>: kardiovaskularne bolesti; HbA1c: glikozilirani hemoglobinA1C; IGT:poremećaj tolerancije glukoze; OGTT:oralni test tolerancije glukoze; DM tip 2:tip 2 dijabetesa</w:t>
      </w:r>
    </w:p>
    <w:p w:rsidR="009E28CE" w:rsidRDefault="009E28CE" w:rsidP="009E28CE">
      <w:r>
        <w:t>3. Procjena kardiovaskularnog rizika u bolesnika s disglikemijom</w:t>
      </w:r>
    </w:p>
    <w:p w:rsidR="009E28CE" w:rsidRDefault="009E28CE" w:rsidP="009E28CE">
      <w:r>
        <w:t xml:space="preserve">3.1 Opšta procjena rizika </w:t>
      </w:r>
    </w:p>
    <w:p w:rsidR="009E28CE" w:rsidRDefault="009E28CE" w:rsidP="009E28CE">
      <w:r>
        <w:t xml:space="preserve">Postoje tablice rizika razvijene za osobe s dijabetesom, ali jednostavniju klasifikaciju zagovara 2012 Joint European </w:t>
      </w:r>
      <w:r w:rsidR="00056CE5" w:rsidRPr="00056CE5">
        <w:t xml:space="preserve">Society Guidelines on </w:t>
      </w:r>
      <w:r w:rsidR="00C9499B">
        <w:t>CVD</w:t>
      </w:r>
      <w:r w:rsidR="00056CE5" w:rsidRPr="00056CE5">
        <w:t xml:space="preserve"> prevention</w:t>
      </w:r>
      <w:r w:rsidR="00056CE5">
        <w:t xml:space="preserve">  koji savjetuju da se pacijenti  sa </w:t>
      </w:r>
      <w:r>
        <w:t>DM</w:t>
      </w:r>
      <w:r w:rsidR="00056CE5">
        <w:t xml:space="preserve"> i</w:t>
      </w:r>
      <w:r>
        <w:t xml:space="preserve"> barem jedan </w:t>
      </w:r>
      <w:r w:rsidR="00056CE5">
        <w:t xml:space="preserve">kardiovaskularnim riziko faktorom ili oštećenjem nekog od ciljnih organa označe kao oni sa veoma visokim rizikom, a </w:t>
      </w:r>
      <w:r>
        <w:t xml:space="preserve">sve druge osobe s DM sa visokim rizikom za </w:t>
      </w:r>
      <w:r w:rsidR="00056CE5">
        <w:t>razvoj</w:t>
      </w:r>
      <w:r>
        <w:t xml:space="preserve"> </w:t>
      </w:r>
      <w:r w:rsidR="00C9499B">
        <w:t>CVD</w:t>
      </w:r>
      <w:r>
        <w:t xml:space="preserve">. </w:t>
      </w:r>
    </w:p>
    <w:p w:rsidR="009E28CE" w:rsidRDefault="00056CE5" w:rsidP="009E28CE">
      <w:r>
        <w:lastRenderedPageBreak/>
        <w:t>3.2 procjena rizika na osnovi biomarkera i imaging-a</w:t>
      </w:r>
    </w:p>
    <w:p w:rsidR="009E28CE" w:rsidRDefault="009E28CE" w:rsidP="009E28CE">
      <w:r>
        <w:t>U bo</w:t>
      </w:r>
      <w:r w:rsidR="00056CE5">
        <w:t>lesnika s DM tip 2 albuminurija</w:t>
      </w:r>
      <w:r>
        <w:t xml:space="preserve"> je faktor riz</w:t>
      </w:r>
      <w:r w:rsidR="00056CE5">
        <w:t xml:space="preserve">ika za buduće kardiovaskularne događaja, CHF i ukupni mortaliteta nakon podešavanja </w:t>
      </w:r>
      <w:r>
        <w:t>z</w:t>
      </w:r>
      <w:r w:rsidR="00056CE5">
        <w:t>a ostale faktore rizika,  i povišen cirkulišući</w:t>
      </w:r>
      <w:r>
        <w:t xml:space="preserve"> N-terminalni pro </w:t>
      </w:r>
    </w:p>
    <w:p w:rsidR="009E28CE" w:rsidRDefault="009E28CE" w:rsidP="009E28CE">
      <w:r>
        <w:t>B-tip natriuretski peptid (NT-proBNP</w:t>
      </w:r>
      <w:r w:rsidR="00056CE5">
        <w:t>)</w:t>
      </w:r>
      <w:r>
        <w:t xml:space="preserve"> je snažan prediktor </w:t>
      </w:r>
      <w:r w:rsidR="00056CE5">
        <w:t xml:space="preserve"> CV smrtnosti, neza</w:t>
      </w:r>
      <w:r>
        <w:t>visno o</w:t>
      </w:r>
      <w:r w:rsidR="00056CE5">
        <w:t>d albuminurije i konvencionalnih riziko faktora. Koronarno-arterijsko kalcijumsko</w:t>
      </w:r>
      <w:r>
        <w:t xml:space="preserve"> (CAC</w:t>
      </w:r>
      <w:r w:rsidR="00056CE5">
        <w:t>) snimanje je superiorno za utvrđivanje</w:t>
      </w:r>
      <w:r>
        <w:t xml:space="preserve"> faktor</w:t>
      </w:r>
      <w:r w:rsidR="00056CE5">
        <w:t xml:space="preserve">a rizika </w:t>
      </w:r>
      <w:r>
        <w:t>za predviđanje tihi</w:t>
      </w:r>
      <w:r w:rsidR="00056CE5">
        <w:t xml:space="preserve">h ishemija miokarda  </w:t>
      </w:r>
      <w:r>
        <w:t>(SMI</w:t>
      </w:r>
      <w:r w:rsidR="00056CE5">
        <w:t>) i kratkoročnog</w:t>
      </w:r>
      <w:r>
        <w:t xml:space="preserve"> ishod</w:t>
      </w:r>
      <w:r w:rsidR="00056CE5">
        <w:t>a</w:t>
      </w:r>
      <w:r>
        <w:t>. CAC</w:t>
      </w:r>
      <w:r w:rsidR="00056CE5">
        <w:t xml:space="preserve"> i </w:t>
      </w:r>
      <w:r w:rsidR="00056CE5" w:rsidRPr="00056CE5">
        <w:t xml:space="preserve">scintigrafija </w:t>
      </w:r>
      <w:r w:rsidR="00056CE5">
        <w:t>perfuzije miokarda su sinergisti za predviđanje kardiovaskularih događaja.</w:t>
      </w:r>
      <w:r w:rsidR="00194CBC">
        <w:t xml:space="preserve"> G</w:t>
      </w:r>
      <w:r>
        <w:t>leža</w:t>
      </w:r>
      <w:r w:rsidR="00194CBC">
        <w:t xml:space="preserve">nj-brahijalnog indeksa (ABI), </w:t>
      </w:r>
      <w:r>
        <w:t>karotidne</w:t>
      </w:r>
      <w:r w:rsidR="00194CBC" w:rsidRPr="00194CBC">
        <w:t xml:space="preserve"> </w:t>
      </w:r>
      <w:r w:rsidR="00194CBC">
        <w:t xml:space="preserve">debljina intimamedije </w:t>
      </w:r>
      <w:r>
        <w:t>i ot</w:t>
      </w:r>
      <w:r w:rsidR="00194CBC">
        <w:t xml:space="preserve">krivanje karotidnih plakova, arterijske krutosti brzinom pulsnog talasa, i srčania autonomna neuropatija </w:t>
      </w:r>
      <w:r>
        <w:t>(CAN</w:t>
      </w:r>
      <w:r w:rsidR="00194CBC">
        <w:t>)</w:t>
      </w:r>
      <w:r>
        <w:t xml:space="preserve"> po standardnim testovima refleks</w:t>
      </w:r>
      <w:r w:rsidR="00194CBC">
        <w:t xml:space="preserve">a mogu </w:t>
      </w:r>
      <w:r>
        <w:t>se sma</w:t>
      </w:r>
      <w:r w:rsidR="00194CBC">
        <w:t xml:space="preserve">trati korisnim kardiovaskularnim </w:t>
      </w:r>
      <w:r>
        <w:t>markeri</w:t>
      </w:r>
      <w:r w:rsidR="00194CBC">
        <w:t xml:space="preserve">ma, </w:t>
      </w:r>
      <w:r>
        <w:t xml:space="preserve">dodajući prediktivne </w:t>
      </w:r>
      <w:r w:rsidR="00194CBC">
        <w:t xml:space="preserve">vrijednosti uobičajenim procjenama rizika. CAD je često tiha u DMand i do 60%  infarkta miokarda </w:t>
      </w:r>
      <w:r>
        <w:t>(MI</w:t>
      </w:r>
      <w:r w:rsidR="00194CBC">
        <w:t xml:space="preserve">) može biti asimptomatsko, dijagnostikuje se </w:t>
      </w:r>
      <w:r>
        <w:t xml:space="preserve"> </w:t>
      </w:r>
      <w:r w:rsidR="00194CBC">
        <w:t xml:space="preserve">sistematskim elektrokardiogram </w:t>
      </w:r>
      <w:r>
        <w:t>(EKG</w:t>
      </w:r>
      <w:r w:rsidR="00194CBC">
        <w:t>)</w:t>
      </w:r>
      <w:r>
        <w:t xml:space="preserve"> screening</w:t>
      </w:r>
      <w:r w:rsidR="00194CBC">
        <w:t xml:space="preserve">-om. </w:t>
      </w:r>
      <w:r>
        <w:t>U asim</w:t>
      </w:r>
      <w:r w:rsidR="00194CBC">
        <w:t xml:space="preserve">ptomatskih bolesnika, rutinski </w:t>
      </w:r>
      <w:r>
        <w:t>skrining za CAD je ko</w:t>
      </w:r>
      <w:r w:rsidR="00194CBC">
        <w:t xml:space="preserve">ntroverzan i </w:t>
      </w:r>
      <w:r>
        <w:t xml:space="preserve">na primjer, ne preporučuje </w:t>
      </w:r>
      <w:r w:rsidR="00194CBC">
        <w:t>se</w:t>
      </w:r>
      <w:r>
        <w:t>od strane ADA</w:t>
      </w:r>
      <w:r w:rsidR="00194CBC">
        <w:t>-e</w:t>
      </w:r>
      <w:r>
        <w:t>, jer ne poboljša</w:t>
      </w:r>
      <w:r w:rsidR="00194CBC">
        <w:t xml:space="preserve">va rezultate sve dok se CV faktori rizika tretiraju. Ovaj stav je, međutim, pod </w:t>
      </w:r>
      <w:r>
        <w:t>rasprava</w:t>
      </w:r>
      <w:r w:rsidR="00194CBC">
        <w:t>ma</w:t>
      </w:r>
      <w:r>
        <w:t xml:space="preserve"> i karakteristike pacijenata koji bi </w:t>
      </w:r>
      <w:r w:rsidR="00194CBC">
        <w:t>se trebali biti uvesti u screening</w:t>
      </w:r>
      <w:r>
        <w:t xml:space="preserve"> je </w:t>
      </w:r>
      <w:r w:rsidR="00194CBC">
        <w:t xml:space="preserve">potrebno bolje definisati. </w:t>
      </w:r>
      <w:r>
        <w:t xml:space="preserve">Tihi infarkt miokarda </w:t>
      </w:r>
      <w:r w:rsidR="00C23FAD">
        <w:t>se može otkriti</w:t>
      </w:r>
      <w:r>
        <w:t xml:space="preserve"> EKG test</w:t>
      </w:r>
      <w:r w:rsidR="00C23FAD">
        <w:t xml:space="preserve">om opterećenja, scintigrafijom </w:t>
      </w:r>
      <w:r>
        <w:t>miokar</w:t>
      </w:r>
      <w:r w:rsidR="00C23FAD">
        <w:t>da ili stres ehokardiografija. SMI pogađa 20-35% DM pacijenata koji imaju dodatne faktore</w:t>
      </w:r>
      <w:r>
        <w:t xml:space="preserve"> rizika,</w:t>
      </w:r>
      <w:r w:rsidR="00C23FAD">
        <w:t xml:space="preserve"> a 35-70% bolesnika sa SMI imaju značajne </w:t>
      </w:r>
      <w:r>
        <w:t>koronar</w:t>
      </w:r>
      <w:r w:rsidR="00C23FAD">
        <w:t xml:space="preserve">nu stenozu na angiografiji. SMI je veliki kardiološki riziko </w:t>
      </w:r>
      <w:r>
        <w:t xml:space="preserve">faktor kada </w:t>
      </w:r>
      <w:r w:rsidR="00C23FAD">
        <w:t>je povezan</w:t>
      </w:r>
      <w:r>
        <w:t xml:space="preserve"> s ko</w:t>
      </w:r>
      <w:r w:rsidR="00C23FAD">
        <w:t>ronarnom stenoza sa angiografiji</w:t>
      </w:r>
      <w:r>
        <w:t xml:space="preserve"> i</w:t>
      </w:r>
      <w:r w:rsidR="005871EB">
        <w:t xml:space="preserve"> kada se SMI i tiha koronarna stenoza dodaju rutinskoj procjeni rizika.Dalji dokazi su potrebni</w:t>
      </w:r>
      <w:r>
        <w:t xml:space="preserve"> za podršku skrining</w:t>
      </w:r>
      <w:r w:rsidR="005871EB">
        <w:t xml:space="preserve">a </w:t>
      </w:r>
      <w:r>
        <w:t>za</w:t>
      </w:r>
      <w:r w:rsidR="005871EB">
        <w:t xml:space="preserve"> SMI, koja se može obaviti u onih sa vrlo visokim rizikom (s </w:t>
      </w:r>
      <w:r>
        <w:t>dokaz</w:t>
      </w:r>
      <w:r w:rsidR="005871EB">
        <w:t>om</w:t>
      </w:r>
      <w:r>
        <w:t xml:space="preserve"> o PAD</w:t>
      </w:r>
      <w:r w:rsidR="005871EB">
        <w:t xml:space="preserve">-u, visoki CAC rezultat ili proteinurija) i u onih koji žele krenuti sa programom vježbanja. U bolesnika sa SMI, koronarna revaskularizacija se može predložiti na individualnoj bazi. Bilo kako bilo, </w:t>
      </w:r>
      <w:r>
        <w:t>isplativost</w:t>
      </w:r>
      <w:r w:rsidR="005871EB">
        <w:t xml:space="preserve"> ove strategije treba evaluaciju</w:t>
      </w:r>
      <w:r>
        <w:t>.</w:t>
      </w:r>
    </w:p>
    <w:p w:rsidR="00E8559B" w:rsidRDefault="00E8559B" w:rsidP="009E28CE"/>
    <w:p w:rsidR="00E91B11" w:rsidRDefault="00E91B11" w:rsidP="009E28CE"/>
    <w:p w:rsidR="00E91B11" w:rsidRDefault="00E91B11" w:rsidP="009E28CE"/>
    <w:p w:rsidR="00E91B11" w:rsidRDefault="00E91B11" w:rsidP="009E28CE"/>
    <w:p w:rsidR="00E91B11" w:rsidRDefault="00E91B11" w:rsidP="009E28CE"/>
    <w:p w:rsidR="00E91B11" w:rsidRDefault="00E91B11" w:rsidP="009E28CE"/>
    <w:p w:rsidR="00E91B11" w:rsidRDefault="00E91B11" w:rsidP="009E28CE"/>
    <w:p w:rsidR="00E91B11" w:rsidRDefault="00E91B11" w:rsidP="009E28CE"/>
    <w:p w:rsidR="00E91B11" w:rsidRDefault="00E91B11" w:rsidP="009E28CE"/>
    <w:p w:rsidR="00E91B11" w:rsidRDefault="00E91B11" w:rsidP="009E28CE"/>
    <w:p w:rsidR="00E91B11" w:rsidRDefault="00E91B11" w:rsidP="009E28CE"/>
    <w:p w:rsidR="00E91B11" w:rsidRDefault="00E91B11" w:rsidP="009E28CE"/>
    <w:p w:rsidR="00E91B11" w:rsidRDefault="00E91B11" w:rsidP="009E28CE"/>
    <w:p w:rsidR="00E91B11" w:rsidRDefault="00E91B11" w:rsidP="009E28CE"/>
    <w:p w:rsidR="00E91B11" w:rsidRDefault="00E91B11" w:rsidP="009E28CE"/>
    <w:p w:rsidR="00E8559B" w:rsidRDefault="00E8559B" w:rsidP="009E28CE">
      <w:r>
        <w:t>Preporuke za procjenu kardiovaskularnog rizika kod dijabetesa</w:t>
      </w:r>
    </w:p>
    <w:tbl>
      <w:tblPr>
        <w:tblStyle w:val="TableGrid"/>
        <w:tblW w:w="0" w:type="auto"/>
        <w:tblLook w:val="04A0" w:firstRow="1" w:lastRow="0" w:firstColumn="1" w:lastColumn="0" w:noHBand="0" w:noVBand="1"/>
      </w:tblPr>
      <w:tblGrid>
        <w:gridCol w:w="2322"/>
        <w:gridCol w:w="2322"/>
        <w:gridCol w:w="2322"/>
        <w:gridCol w:w="2322"/>
      </w:tblGrid>
      <w:tr w:rsidR="00E8559B" w:rsidTr="00E8559B">
        <w:tc>
          <w:tcPr>
            <w:tcW w:w="2322" w:type="dxa"/>
          </w:tcPr>
          <w:p w:rsidR="00E8559B" w:rsidRDefault="00E8559B" w:rsidP="009E28CE">
            <w:r>
              <w:t>Preporuke</w:t>
            </w:r>
          </w:p>
        </w:tc>
        <w:tc>
          <w:tcPr>
            <w:tcW w:w="2322" w:type="dxa"/>
          </w:tcPr>
          <w:p w:rsidR="00E8559B" w:rsidRDefault="00E8559B" w:rsidP="009E28CE">
            <w:r>
              <w:t>Klasa</w:t>
            </w:r>
          </w:p>
        </w:tc>
        <w:tc>
          <w:tcPr>
            <w:tcW w:w="2322" w:type="dxa"/>
          </w:tcPr>
          <w:p w:rsidR="00E8559B" w:rsidRDefault="00E8559B" w:rsidP="009E28CE">
            <w:r>
              <w:t>Nivo</w:t>
            </w:r>
          </w:p>
        </w:tc>
        <w:tc>
          <w:tcPr>
            <w:tcW w:w="2322" w:type="dxa"/>
          </w:tcPr>
          <w:p w:rsidR="00E8559B" w:rsidRDefault="00E8559B" w:rsidP="009E28CE">
            <w:r>
              <w:t>Ref.</w:t>
            </w:r>
          </w:p>
        </w:tc>
      </w:tr>
      <w:tr w:rsidR="00E8559B" w:rsidTr="00E8559B">
        <w:tc>
          <w:tcPr>
            <w:tcW w:w="2322" w:type="dxa"/>
          </w:tcPr>
          <w:p w:rsidR="00E8559B" w:rsidRDefault="00E8559B" w:rsidP="009E28CE">
            <w:r>
              <w:t xml:space="preserve">Treba uzeti u obzir i da se pacijenti sa DM klasifikuju kao veoma visoko rizični ili visoko rizični za </w:t>
            </w:r>
            <w:r w:rsidR="00C9499B">
              <w:t>CVD</w:t>
            </w:r>
            <w:r>
              <w:t xml:space="preserve"> zavisno od prisutnosti konkomitantnih riziko faktora ili oštećenja ciljnih organa</w:t>
            </w:r>
          </w:p>
        </w:tc>
        <w:tc>
          <w:tcPr>
            <w:tcW w:w="2322" w:type="dxa"/>
          </w:tcPr>
          <w:p w:rsidR="00E8559B" w:rsidRDefault="00E8559B" w:rsidP="009E28CE">
            <w:r>
              <w:t>Iia</w:t>
            </w:r>
          </w:p>
        </w:tc>
        <w:tc>
          <w:tcPr>
            <w:tcW w:w="2322" w:type="dxa"/>
          </w:tcPr>
          <w:p w:rsidR="00E8559B" w:rsidRDefault="00E8559B" w:rsidP="009E28CE">
            <w:r>
              <w:t>C</w:t>
            </w:r>
          </w:p>
        </w:tc>
        <w:tc>
          <w:tcPr>
            <w:tcW w:w="2322" w:type="dxa"/>
          </w:tcPr>
          <w:p w:rsidR="00E8559B" w:rsidRDefault="00E8559B" w:rsidP="009E28CE"/>
        </w:tc>
      </w:tr>
      <w:tr w:rsidR="00E8559B" w:rsidTr="00E8559B">
        <w:tc>
          <w:tcPr>
            <w:tcW w:w="2322" w:type="dxa"/>
          </w:tcPr>
          <w:p w:rsidR="00E8559B" w:rsidRDefault="00E8559B" w:rsidP="009E28CE">
            <w:r>
              <w:t xml:space="preserve">Nije preporučeno procjenjivati rizik od </w:t>
            </w:r>
            <w:r w:rsidR="00C9499B">
              <w:t>CVD</w:t>
            </w:r>
            <w:r>
              <w:t xml:space="preserve"> kod pacijenata sa DM bazirano na riziko skorovima razvijenih za opštu populaciju</w:t>
            </w:r>
          </w:p>
        </w:tc>
        <w:tc>
          <w:tcPr>
            <w:tcW w:w="2322" w:type="dxa"/>
          </w:tcPr>
          <w:p w:rsidR="00E8559B" w:rsidRDefault="00E8559B" w:rsidP="009E28CE">
            <w:r>
              <w:t>III</w:t>
            </w:r>
          </w:p>
        </w:tc>
        <w:tc>
          <w:tcPr>
            <w:tcW w:w="2322" w:type="dxa"/>
          </w:tcPr>
          <w:p w:rsidR="00E8559B" w:rsidRDefault="00E8559B" w:rsidP="009E28CE">
            <w:r>
              <w:t>C</w:t>
            </w:r>
          </w:p>
        </w:tc>
        <w:tc>
          <w:tcPr>
            <w:tcW w:w="2322" w:type="dxa"/>
          </w:tcPr>
          <w:p w:rsidR="00E8559B" w:rsidRDefault="00E8559B" w:rsidP="009E28CE"/>
        </w:tc>
      </w:tr>
      <w:tr w:rsidR="00E8559B" w:rsidTr="00E8559B">
        <w:tc>
          <w:tcPr>
            <w:tcW w:w="2322" w:type="dxa"/>
          </w:tcPr>
          <w:p w:rsidR="00E8559B" w:rsidRDefault="00E8559B" w:rsidP="009E28CE">
            <w:r>
              <w:t>Indikovano je odrediti ekskreciju albumina urinom kada se radi riziko stratifikacija pacijenata sa DM-om</w:t>
            </w:r>
          </w:p>
        </w:tc>
        <w:tc>
          <w:tcPr>
            <w:tcW w:w="2322" w:type="dxa"/>
          </w:tcPr>
          <w:p w:rsidR="00E8559B" w:rsidRDefault="00E8559B" w:rsidP="009E28CE">
            <w:r>
              <w:t>I</w:t>
            </w:r>
          </w:p>
        </w:tc>
        <w:tc>
          <w:tcPr>
            <w:tcW w:w="2322" w:type="dxa"/>
          </w:tcPr>
          <w:p w:rsidR="00E8559B" w:rsidRDefault="00E8559B" w:rsidP="009E28CE">
            <w:r>
              <w:t>B</w:t>
            </w:r>
          </w:p>
        </w:tc>
        <w:tc>
          <w:tcPr>
            <w:tcW w:w="2322" w:type="dxa"/>
          </w:tcPr>
          <w:p w:rsidR="00E8559B" w:rsidRDefault="00E8559B" w:rsidP="009E28CE">
            <w:r>
              <w:t>43</w:t>
            </w:r>
          </w:p>
        </w:tc>
      </w:tr>
      <w:tr w:rsidR="00E8559B" w:rsidTr="00E8559B">
        <w:tc>
          <w:tcPr>
            <w:tcW w:w="2322" w:type="dxa"/>
          </w:tcPr>
          <w:p w:rsidR="00E8559B" w:rsidRDefault="00E91B11" w:rsidP="009E28CE">
            <w:r>
              <w:t>Skrining na tihu miokardnu ishemiju se može uzeti u obzir kod odabranih visoko rizičnih pacijenata sa DM</w:t>
            </w:r>
          </w:p>
        </w:tc>
        <w:tc>
          <w:tcPr>
            <w:tcW w:w="2322" w:type="dxa"/>
          </w:tcPr>
          <w:p w:rsidR="00E8559B" w:rsidRDefault="00E91B11" w:rsidP="009E28CE">
            <w:r>
              <w:t>Iib</w:t>
            </w:r>
          </w:p>
        </w:tc>
        <w:tc>
          <w:tcPr>
            <w:tcW w:w="2322" w:type="dxa"/>
          </w:tcPr>
          <w:p w:rsidR="00E8559B" w:rsidRDefault="00E91B11" w:rsidP="009E28CE">
            <w:r>
              <w:t>C</w:t>
            </w:r>
          </w:p>
        </w:tc>
        <w:tc>
          <w:tcPr>
            <w:tcW w:w="2322" w:type="dxa"/>
          </w:tcPr>
          <w:p w:rsidR="00E8559B" w:rsidRDefault="00E8559B" w:rsidP="009E28CE"/>
        </w:tc>
      </w:tr>
    </w:tbl>
    <w:p w:rsidR="00E8559B" w:rsidRDefault="00E8559B" w:rsidP="009E28CE"/>
    <w:p w:rsidR="00E91B11" w:rsidRDefault="00E91B11" w:rsidP="009E28CE">
      <w:r w:rsidRPr="00E91B11">
        <w:t>4.Prevencija kardiovaskularne bolesti</w:t>
      </w:r>
    </w:p>
    <w:p w:rsidR="00E91B11" w:rsidRDefault="00E91B11" w:rsidP="009E28CE">
      <w:r>
        <w:t>4.1 Životni stil</w:t>
      </w:r>
    </w:p>
    <w:p w:rsidR="00E91B11" w:rsidRDefault="00E91B11" w:rsidP="009E28CE">
      <w:r>
        <w:t>4.1.1 Ishrana</w:t>
      </w:r>
    </w:p>
    <w:p w:rsidR="00E91B11" w:rsidRDefault="00E91B11" w:rsidP="00E91B11">
      <w:r>
        <w:t>Dijetalne intervencije preporučene od strane EASD Dijabetes i ishrana Study Group su manje propisane od ranijih savjeta o ishrani, ali naglašavaju odgovarajući unos ukupne energije i ishranu u kojoj voće, povrće, integralne žitarice, i izvori proteina sa niskim procentom masti dominiraju. Sugerisano je da nema koristi u ishrani sa visokim nivoom belančevina u odnosu na onu sa visokim nivoom ugljenih hidrata u DM tip 2.55 Specifične dijetetske preporuke uključuju ograničavanje količine zasićenih i trans-masti i unosa alkohola, praćenje potrošnje ugljienih hidrata, te povećanje dijetetskih vlakana. Rutinska suplementacija antioksidansima</w:t>
      </w:r>
      <w:r w:rsidR="006035DC">
        <w:t xml:space="preserve">, </w:t>
      </w:r>
      <w:r>
        <w:t>kao što su vitami</w:t>
      </w:r>
      <w:r w:rsidR="006035DC">
        <w:t xml:space="preserve">ni E i C i karotenom, nije preporučena. Za one </w:t>
      </w:r>
      <w:r>
        <w:t>koji preferiraju veći unos masti,</w:t>
      </w:r>
      <w:r w:rsidR="006035DC">
        <w:t xml:space="preserve"> ishrana</w:t>
      </w:r>
      <w:r>
        <w:t xml:space="preserve"> mediteranskog tipa</w:t>
      </w:r>
      <w:r w:rsidR="006035DC">
        <w:t xml:space="preserve"> je prihvatljiva, </w:t>
      </w:r>
      <w:r w:rsidR="006035DC">
        <w:lastRenderedPageBreak/>
        <w:t>pod uslovom</w:t>
      </w:r>
      <w:r>
        <w:t xml:space="preserve"> da</w:t>
      </w:r>
      <w:r w:rsidR="006035DC">
        <w:t xml:space="preserve"> su izvori masti </w:t>
      </w:r>
      <w:r>
        <w:t>uglavn</w:t>
      </w:r>
      <w:r w:rsidR="006035DC">
        <w:t xml:space="preserve">om izvedeni iz mononezasićenih </w:t>
      </w:r>
      <w:r>
        <w:t>ulja pomoću djevičansko maslinovo ulje.</w:t>
      </w:r>
    </w:p>
    <w:p w:rsidR="006035DC" w:rsidRDefault="006035DC" w:rsidP="00E91B11">
      <w:r>
        <w:t>4.1.2 Fizička aktivnost</w:t>
      </w:r>
    </w:p>
    <w:p w:rsidR="006035DC" w:rsidRDefault="006035DC" w:rsidP="00345F54">
      <w:r>
        <w:t xml:space="preserve">Aerobni i treninzi izdržljivosti poboljšavaju djelovanje inzulina, nivo plazma glukoze (PG )i lipida, krvni pritisak, i kardiovaskularni rizik. Redovna vježba je neophodna za nastavak koristi. Slabo je poznato koji je najbolji način da se promoviše fizička aktivnost; međutim, podaci iz više RCT podržavaju potrebu za pojačanje uticaja zdravstvenih radnika. Sistematski pregledi izviještavaju da je strukturisana aerobne vježbea i vježba izdržljivosti smanjuje HbA1c za oko 0,6% u DM tip 2. Kombinacija aerobnog i treninga izdrzljivosti ima povoljniji uticaj na HbA1c nego oba pojedinačno. U </w:t>
      </w:r>
      <w:r w:rsidR="00345F54">
        <w:t>skorašnjoj meta-analizi 23 studije</w:t>
      </w:r>
      <w:r>
        <w:t>, strukturi</w:t>
      </w:r>
      <w:r w:rsidR="00345F54">
        <w:t>sano vjezbanje je bilo povezano sa 0.7% padom u HbA1c u poređenju sa kontrolnom grupom. Strukturisano vjezbanje od &gt;150min/sedmici je bilo povezano sa padom HbA1c od 0.9%; y150min/sedmično sa padom od 0.4%. Generalno, intervencije u vezi fizičke aktivnosti su bile povezane sa nižim HbA1c samo kada su kombinovane sa korekcijom ishrane.</w:t>
      </w:r>
    </w:p>
    <w:p w:rsidR="00345F54" w:rsidRDefault="00345F54" w:rsidP="00345F54">
      <w:r>
        <w:t>4.1.3 Pušenje</w:t>
      </w:r>
    </w:p>
    <w:p w:rsidR="00345F54" w:rsidRDefault="00345F54" w:rsidP="00345F54">
      <w:r>
        <w:t xml:space="preserve">Pušenje povećava rizik od DM tip2, </w:t>
      </w:r>
      <w:r w:rsidR="00C9499B">
        <w:t>CVD</w:t>
      </w:r>
      <w:r>
        <w:t xml:space="preserve"> i prijevremene smrti, a smanjenje pušenja smanjuje rizik od </w:t>
      </w:r>
      <w:r w:rsidR="00C9499B">
        <w:t>CVD</w:t>
      </w:r>
      <w:r>
        <w:t>. Aktivni pušači sa DM bi trebali biti savjetovani o strukturisanom programu prestanka pušenja, uključujući farmakološku podršku ako je potrebno. Detaljne instrukcije su prezentovane na 2012 Joint European Prevention Guidelines.</w:t>
      </w:r>
    </w:p>
    <w:tbl>
      <w:tblPr>
        <w:tblStyle w:val="TableGrid"/>
        <w:tblW w:w="0" w:type="auto"/>
        <w:tblLook w:val="04A0" w:firstRow="1" w:lastRow="0" w:firstColumn="1" w:lastColumn="0" w:noHBand="0" w:noVBand="1"/>
      </w:tblPr>
      <w:tblGrid>
        <w:gridCol w:w="2322"/>
        <w:gridCol w:w="2322"/>
        <w:gridCol w:w="2322"/>
        <w:gridCol w:w="2322"/>
      </w:tblGrid>
      <w:tr w:rsidR="00345F54" w:rsidTr="00345F54">
        <w:tc>
          <w:tcPr>
            <w:tcW w:w="2322" w:type="dxa"/>
          </w:tcPr>
          <w:p w:rsidR="00345F54" w:rsidRDefault="00345F54" w:rsidP="00345F54">
            <w:r>
              <w:t>Preporuke</w:t>
            </w:r>
          </w:p>
        </w:tc>
        <w:tc>
          <w:tcPr>
            <w:tcW w:w="2322" w:type="dxa"/>
          </w:tcPr>
          <w:p w:rsidR="00345F54" w:rsidRDefault="008751D0" w:rsidP="00345F54">
            <w:r>
              <w:t>Klasa</w:t>
            </w:r>
          </w:p>
        </w:tc>
        <w:tc>
          <w:tcPr>
            <w:tcW w:w="2322" w:type="dxa"/>
          </w:tcPr>
          <w:p w:rsidR="00345F54" w:rsidRDefault="008751D0" w:rsidP="00345F54">
            <w:r>
              <w:t>Nivo</w:t>
            </w:r>
          </w:p>
        </w:tc>
        <w:tc>
          <w:tcPr>
            <w:tcW w:w="2322" w:type="dxa"/>
          </w:tcPr>
          <w:p w:rsidR="00345F54" w:rsidRDefault="008751D0" w:rsidP="00345F54">
            <w:r>
              <w:t>Ref.</w:t>
            </w:r>
          </w:p>
        </w:tc>
      </w:tr>
      <w:tr w:rsidR="00345F54" w:rsidTr="00345F54">
        <w:tc>
          <w:tcPr>
            <w:tcW w:w="2322" w:type="dxa"/>
          </w:tcPr>
          <w:p w:rsidR="00345F54" w:rsidRDefault="00345F54" w:rsidP="00345F54">
            <w:r>
              <w:t>Prestanak pušenja vođen strukturisanim savjetima je preporučen kod svih sa DM i IGT</w:t>
            </w:r>
          </w:p>
        </w:tc>
        <w:tc>
          <w:tcPr>
            <w:tcW w:w="2322" w:type="dxa"/>
          </w:tcPr>
          <w:p w:rsidR="00345F54" w:rsidRDefault="008751D0" w:rsidP="00345F54">
            <w:r>
              <w:t>I</w:t>
            </w:r>
          </w:p>
        </w:tc>
        <w:tc>
          <w:tcPr>
            <w:tcW w:w="2322" w:type="dxa"/>
          </w:tcPr>
          <w:p w:rsidR="00345F54" w:rsidRDefault="008751D0" w:rsidP="00345F54">
            <w:r>
              <w:t>A</w:t>
            </w:r>
          </w:p>
        </w:tc>
        <w:tc>
          <w:tcPr>
            <w:tcW w:w="2322" w:type="dxa"/>
          </w:tcPr>
          <w:p w:rsidR="00345F54" w:rsidRDefault="008751D0" w:rsidP="00345F54">
            <w:r>
              <w:t>63</w:t>
            </w:r>
          </w:p>
        </w:tc>
      </w:tr>
      <w:tr w:rsidR="00345F54" w:rsidTr="00345F54">
        <w:tc>
          <w:tcPr>
            <w:tcW w:w="2322" w:type="dxa"/>
          </w:tcPr>
          <w:p w:rsidR="00345F54" w:rsidRDefault="00F11F91" w:rsidP="00345F54">
            <w:r>
              <w:t>Preporučeno je da u prevenciji DM tip 2 i kontroli DM, ukupni unos masti bi trebao biti &lt;35%, zasićene masti &lt;10% i monozasićene masne kiseline &gt;10% ukupne energije</w:t>
            </w:r>
          </w:p>
        </w:tc>
        <w:tc>
          <w:tcPr>
            <w:tcW w:w="2322" w:type="dxa"/>
          </w:tcPr>
          <w:p w:rsidR="00345F54" w:rsidRDefault="008751D0" w:rsidP="00345F54">
            <w:r>
              <w:t>I</w:t>
            </w:r>
          </w:p>
        </w:tc>
        <w:tc>
          <w:tcPr>
            <w:tcW w:w="2322" w:type="dxa"/>
          </w:tcPr>
          <w:p w:rsidR="00345F54" w:rsidRDefault="008751D0" w:rsidP="00345F54">
            <w:r>
              <w:t>A</w:t>
            </w:r>
          </w:p>
        </w:tc>
        <w:tc>
          <w:tcPr>
            <w:tcW w:w="2322" w:type="dxa"/>
          </w:tcPr>
          <w:p w:rsidR="00345F54" w:rsidRDefault="008751D0" w:rsidP="00345F54">
            <w:r>
              <w:t>34,55,66,67</w:t>
            </w:r>
          </w:p>
        </w:tc>
      </w:tr>
      <w:tr w:rsidR="00345F54" w:rsidTr="00345F54">
        <w:tc>
          <w:tcPr>
            <w:tcW w:w="2322" w:type="dxa"/>
          </w:tcPr>
          <w:p w:rsidR="00345F54" w:rsidRDefault="00F11F91" w:rsidP="00345F54">
            <w:r>
              <w:t>Preporučeno je da dijetalna vlakna se trebaju unositi &gt;40g dnevno (ili 20g/1000kcal dnevno) u prevenciji i kontroli DM</w:t>
            </w:r>
          </w:p>
        </w:tc>
        <w:tc>
          <w:tcPr>
            <w:tcW w:w="2322" w:type="dxa"/>
          </w:tcPr>
          <w:p w:rsidR="00345F54" w:rsidRDefault="008751D0" w:rsidP="00345F54">
            <w:r>
              <w:t>I</w:t>
            </w:r>
          </w:p>
        </w:tc>
        <w:tc>
          <w:tcPr>
            <w:tcW w:w="2322" w:type="dxa"/>
          </w:tcPr>
          <w:p w:rsidR="00345F54" w:rsidRDefault="008751D0" w:rsidP="00345F54">
            <w:r>
              <w:t>A</w:t>
            </w:r>
          </w:p>
        </w:tc>
        <w:tc>
          <w:tcPr>
            <w:tcW w:w="2322" w:type="dxa"/>
          </w:tcPr>
          <w:p w:rsidR="00345F54" w:rsidRDefault="008751D0" w:rsidP="00345F54">
            <w:r>
              <w:t>34,55,66,67</w:t>
            </w:r>
          </w:p>
        </w:tc>
      </w:tr>
      <w:tr w:rsidR="00345F54" w:rsidTr="00345F54">
        <w:tc>
          <w:tcPr>
            <w:tcW w:w="2322" w:type="dxa"/>
          </w:tcPr>
          <w:p w:rsidR="00345F54" w:rsidRDefault="00F11F91" w:rsidP="00345F54">
            <w:r>
              <w:t xml:space="preserve">Bilo koja vrsta ishrane sa redukovanim unosom energije se može preporučiti u snižavanju tjelesne </w:t>
            </w:r>
            <w:r>
              <w:lastRenderedPageBreak/>
              <w:t>mase kod DM</w:t>
            </w:r>
          </w:p>
        </w:tc>
        <w:tc>
          <w:tcPr>
            <w:tcW w:w="2322" w:type="dxa"/>
          </w:tcPr>
          <w:p w:rsidR="00345F54" w:rsidRDefault="008751D0" w:rsidP="00345F54">
            <w:r>
              <w:lastRenderedPageBreak/>
              <w:t>I</w:t>
            </w:r>
          </w:p>
        </w:tc>
        <w:tc>
          <w:tcPr>
            <w:tcW w:w="2322" w:type="dxa"/>
          </w:tcPr>
          <w:p w:rsidR="00345F54" w:rsidRDefault="008751D0" w:rsidP="00345F54">
            <w:r>
              <w:t>B</w:t>
            </w:r>
          </w:p>
        </w:tc>
        <w:tc>
          <w:tcPr>
            <w:tcW w:w="2322" w:type="dxa"/>
          </w:tcPr>
          <w:p w:rsidR="00345F54" w:rsidRDefault="008751D0" w:rsidP="00345F54">
            <w:r>
              <w:t>66,67</w:t>
            </w:r>
          </w:p>
        </w:tc>
      </w:tr>
      <w:tr w:rsidR="00345F54" w:rsidTr="00345F54">
        <w:tc>
          <w:tcPr>
            <w:tcW w:w="2322" w:type="dxa"/>
          </w:tcPr>
          <w:p w:rsidR="00345F54" w:rsidRDefault="00F11F91" w:rsidP="00345F54">
            <w:r>
              <w:lastRenderedPageBreak/>
              <w:t xml:space="preserve">Vitaminska ili mikronutritijentna suplementacija u redukovanju rizika DM tip2 ili </w:t>
            </w:r>
            <w:r w:rsidR="00C9499B">
              <w:t>CVD</w:t>
            </w:r>
            <w:r>
              <w:t xml:space="preserve"> u Dm nije </w:t>
            </w:r>
            <w:r w:rsidR="008751D0">
              <w:t>Ai</w:t>
            </w:r>
            <w:r>
              <w:t>preporučena</w:t>
            </w:r>
          </w:p>
        </w:tc>
        <w:tc>
          <w:tcPr>
            <w:tcW w:w="2322" w:type="dxa"/>
          </w:tcPr>
          <w:p w:rsidR="00345F54" w:rsidRDefault="008751D0" w:rsidP="00345F54">
            <w:r>
              <w:t>III</w:t>
            </w:r>
          </w:p>
        </w:tc>
        <w:tc>
          <w:tcPr>
            <w:tcW w:w="2322" w:type="dxa"/>
          </w:tcPr>
          <w:p w:rsidR="00345F54" w:rsidRDefault="008751D0" w:rsidP="00345F54">
            <w:r>
              <w:t>B</w:t>
            </w:r>
          </w:p>
        </w:tc>
        <w:tc>
          <w:tcPr>
            <w:tcW w:w="2322" w:type="dxa"/>
          </w:tcPr>
          <w:p w:rsidR="00345F54" w:rsidRDefault="008751D0" w:rsidP="00345F54">
            <w:r>
              <w:t>56,66</w:t>
            </w:r>
          </w:p>
        </w:tc>
      </w:tr>
      <w:tr w:rsidR="00345F54" w:rsidTr="00345F54">
        <w:tc>
          <w:tcPr>
            <w:tcW w:w="2322" w:type="dxa"/>
          </w:tcPr>
          <w:p w:rsidR="00345F54" w:rsidRDefault="008751D0" w:rsidP="00345F54">
            <w:r>
              <w:t>u</w:t>
            </w:r>
            <w:r w:rsidR="00F11F91">
              <w:t xml:space="preserve">mjerena do napredna fizička aktivnost &gt;150min sedmično za prevenciju i kontrolu DM tip 2, te </w:t>
            </w:r>
            <w:r w:rsidR="00C9499B">
              <w:t>CVD</w:t>
            </w:r>
            <w:r w:rsidR="00F11F91">
              <w:t xml:space="preserve"> u Dm je preporučena</w:t>
            </w:r>
          </w:p>
        </w:tc>
        <w:tc>
          <w:tcPr>
            <w:tcW w:w="2322" w:type="dxa"/>
          </w:tcPr>
          <w:p w:rsidR="00345F54" w:rsidRDefault="008751D0" w:rsidP="00345F54">
            <w:r>
              <w:t>I</w:t>
            </w:r>
          </w:p>
        </w:tc>
        <w:tc>
          <w:tcPr>
            <w:tcW w:w="2322" w:type="dxa"/>
          </w:tcPr>
          <w:p w:rsidR="00345F54" w:rsidRDefault="008751D0" w:rsidP="00345F54">
            <w:r>
              <w:t>A</w:t>
            </w:r>
          </w:p>
        </w:tc>
        <w:tc>
          <w:tcPr>
            <w:tcW w:w="2322" w:type="dxa"/>
          </w:tcPr>
          <w:p w:rsidR="00345F54" w:rsidRDefault="008751D0" w:rsidP="00345F54">
            <w:r>
              <w:t>58.68</w:t>
            </w:r>
          </w:p>
        </w:tc>
      </w:tr>
      <w:tr w:rsidR="00345F54" w:rsidTr="00345F54">
        <w:tc>
          <w:tcPr>
            <w:tcW w:w="2322" w:type="dxa"/>
          </w:tcPr>
          <w:p w:rsidR="00345F54" w:rsidRDefault="00F11F91" w:rsidP="00345F54">
            <w:r>
              <w:t>Preporučeno je aerobno vježbanje te trening izdržljivosti u prevenciji i kontroli DM, ali najbolje je u kombinaciji</w:t>
            </w:r>
          </w:p>
        </w:tc>
        <w:tc>
          <w:tcPr>
            <w:tcW w:w="2322" w:type="dxa"/>
          </w:tcPr>
          <w:p w:rsidR="00345F54" w:rsidRDefault="008751D0" w:rsidP="00345F54">
            <w:r>
              <w:t>I</w:t>
            </w:r>
          </w:p>
        </w:tc>
        <w:tc>
          <w:tcPr>
            <w:tcW w:w="2322" w:type="dxa"/>
          </w:tcPr>
          <w:p w:rsidR="00345F54" w:rsidRDefault="008751D0" w:rsidP="00345F54">
            <w:r>
              <w:t>A</w:t>
            </w:r>
          </w:p>
        </w:tc>
        <w:tc>
          <w:tcPr>
            <w:tcW w:w="2322" w:type="dxa"/>
          </w:tcPr>
          <w:p w:rsidR="00345F54" w:rsidRDefault="008751D0" w:rsidP="00345F54">
            <w:r>
              <w:t>60</w:t>
            </w:r>
          </w:p>
        </w:tc>
      </w:tr>
    </w:tbl>
    <w:p w:rsidR="00345F54" w:rsidRDefault="00345F54" w:rsidP="00345F54"/>
    <w:p w:rsidR="00123D4C" w:rsidRDefault="00123D4C" w:rsidP="00123D4C">
      <w:r>
        <w:t>4.2 Kontrola glukoze</w:t>
      </w:r>
    </w:p>
    <w:p w:rsidR="00123D4C" w:rsidRDefault="00123D4C" w:rsidP="00123D4C">
      <w:r>
        <w:t>Randomizovane kontrolirane studi</w:t>
      </w:r>
      <w:r w:rsidR="00A0228E">
        <w:t xml:space="preserve">je pružaju uvjerljiv dokaz da se mikrovaskularne komplikacije DM  umanjuju </w:t>
      </w:r>
      <w:r>
        <w:t>čvrsto</w:t>
      </w:r>
      <w:r w:rsidR="00A0228E">
        <w:t xml:space="preserve">m glikemijskom kontrolom, koji takođe vrši povoljan-iako manji- </w:t>
      </w:r>
      <w:r>
        <w:t xml:space="preserve">uticaj na </w:t>
      </w:r>
      <w:r w:rsidR="00C9499B">
        <w:t>CVD</w:t>
      </w:r>
      <w:r>
        <w:t xml:space="preserve">, međutim, vidljivo odmah </w:t>
      </w:r>
      <w:r w:rsidR="00A0228E">
        <w:t>mnogo godina.Intenzivna kontrola glukoze</w:t>
      </w:r>
      <w:r>
        <w:t>, u kombinaciji sa efektivnim krvni</w:t>
      </w:r>
      <w:r w:rsidR="00A0228E">
        <w:t>m pritiskom i snižavanjem lipida</w:t>
      </w:r>
      <w:r>
        <w:t xml:space="preserve">, znatno skraćuje vrijeme </w:t>
      </w:r>
      <w:r w:rsidR="00A0228E">
        <w:t xml:space="preserve">potrebno da se pokaže smanjenje </w:t>
      </w:r>
      <w:r>
        <w:t>kardiovaskularn</w:t>
      </w:r>
      <w:r w:rsidR="00A0228E">
        <w:t>ih dešavanja.</w:t>
      </w:r>
    </w:p>
    <w:p w:rsidR="00123D4C" w:rsidRDefault="00123D4C" w:rsidP="00123D4C">
      <w:r>
        <w:t>4.2.1 Mikrovaskularne bolesti (retinopatije, nefropati</w:t>
      </w:r>
      <w:r w:rsidR="00A0228E">
        <w:t xml:space="preserve">je i </w:t>
      </w:r>
      <w:r>
        <w:t xml:space="preserve">neuropatija </w:t>
      </w:r>
      <w:r w:rsidR="00A0228E">
        <w:t>)</w:t>
      </w:r>
    </w:p>
    <w:p w:rsidR="00123D4C" w:rsidRDefault="00123D4C" w:rsidP="00123D4C">
      <w:r>
        <w:t>Retinopat</w:t>
      </w:r>
      <w:r w:rsidR="00A0228E">
        <w:t xml:space="preserve">ija je najčešća mikrovaskularna komplikacija u DM.  Iako je njegova incidencija opala nakon implementacije intenzivnih režima liječenja, vidu prijeteća proliferativna retinopatija  </w:t>
      </w:r>
      <w:r>
        <w:t>pogađa 50% ispitanika s dijabetesom tipa 1</w:t>
      </w:r>
      <w:r w:rsidR="00A0228E">
        <w:t xml:space="preserve"> mellitus </w:t>
      </w:r>
      <w:r>
        <w:t xml:space="preserve"> a 29% s DM tip 2 razvijaju </w:t>
      </w:r>
      <w:r w:rsidR="00A0228E">
        <w:t>vidu prijeteći makularni edema. Rapidno progresivna</w:t>
      </w:r>
      <w:r>
        <w:t xml:space="preserve"> r</w:t>
      </w:r>
      <w:r w:rsidR="00A0228E">
        <w:t>etinopatija ukazuje na povećan kardiovaskularni rizik</w:t>
      </w:r>
      <w:r>
        <w:t xml:space="preserve"> i kombinac</w:t>
      </w:r>
      <w:r w:rsidR="00A0228E">
        <w:t xml:space="preserve">ija retinopatije i nefropatije </w:t>
      </w:r>
      <w:r>
        <w:t xml:space="preserve">predviđa </w:t>
      </w:r>
      <w:r w:rsidR="00A0228E">
        <w:t>povećan</w:t>
      </w:r>
      <w:r>
        <w:t xml:space="preserve"> morbiditet i mortalitet; u DM tip 2 </w:t>
      </w:r>
      <w:r w:rsidR="00A0228E">
        <w:t>uznapredovala retinopatija više nego duplo povećava</w:t>
      </w:r>
      <w:r>
        <w:t xml:space="preserve"> </w:t>
      </w:r>
      <w:r w:rsidR="00A0228E">
        <w:t xml:space="preserve">ovaj rizik.  </w:t>
      </w:r>
      <w:r>
        <w:t>Pojačan</w:t>
      </w:r>
      <w:r w:rsidR="00A0228E">
        <w:t>o</w:t>
      </w:r>
      <w:r>
        <w:t xml:space="preserve"> </w:t>
      </w:r>
      <w:r w:rsidR="00A0228E">
        <w:t xml:space="preserve"> </w:t>
      </w:r>
      <w:r>
        <w:t>smanjenje</w:t>
      </w:r>
      <w:r w:rsidR="00A0228E">
        <w:t xml:space="preserve"> nivoa glukoze, ciljanje HbA1c  6,0-7,0%, (42- 53 mmol / mol)</w:t>
      </w:r>
      <w:r>
        <w:t xml:space="preserve"> je sta</w:t>
      </w:r>
      <w:r w:rsidR="00A0228E">
        <w:t xml:space="preserve">lno bila povezana sa smanjenim </w:t>
      </w:r>
      <w:r>
        <w:t>učestalost</w:t>
      </w:r>
      <w:r w:rsidR="00A0228E">
        <w:t>i</w:t>
      </w:r>
      <w:r>
        <w:t xml:space="preserve"> i ozbiljnost</w:t>
      </w:r>
      <w:r w:rsidR="00A0228E">
        <w:t xml:space="preserve">i mikrovaskularnih komplikacija. Ovo se odnosi na i  </w:t>
      </w:r>
      <w:r>
        <w:t>DM</w:t>
      </w:r>
      <w:r w:rsidR="00A0228E">
        <w:t xml:space="preserve"> tip 1</w:t>
      </w:r>
      <w:r>
        <w:t xml:space="preserve"> i DM tip 2, </w:t>
      </w:r>
      <w:r w:rsidR="00A0228E">
        <w:t xml:space="preserve">iako je manje očito u DM tip 2 </w:t>
      </w:r>
      <w:r>
        <w:t xml:space="preserve">sa utvrđenim </w:t>
      </w:r>
      <w:r w:rsidR="00A0228E">
        <w:t>komplikacijama.</w:t>
      </w:r>
      <w:r>
        <w:t xml:space="preserve"> Analize od</w:t>
      </w:r>
      <w:r w:rsidR="00A0228E">
        <w:t xml:space="preserve"> strane</w:t>
      </w:r>
      <w:r>
        <w:t xml:space="preserve"> </w:t>
      </w:r>
      <w:r w:rsidR="00A0228E">
        <w:t xml:space="preserve">Studije za kontrolu i komplikacije dijabetesa (DCCT) i </w:t>
      </w:r>
      <w:r w:rsidR="007433C9">
        <w:t>Prospektivne studije dijabetea u Velikoj Britaniji (UKPDS) pokazale su</w:t>
      </w:r>
      <w:r>
        <w:t xml:space="preserve"> kontinuiranu vezu </w:t>
      </w:r>
      <w:r w:rsidR="007433C9">
        <w:t xml:space="preserve"> između povećanog </w:t>
      </w:r>
      <w:r>
        <w:t xml:space="preserve">HbA1c </w:t>
      </w:r>
      <w:r w:rsidR="007433C9">
        <w:t>i mikrovaskularnih komplikacija</w:t>
      </w:r>
      <w:r>
        <w:t xml:space="preserve"> </w:t>
      </w:r>
      <w:r w:rsidR="007433C9">
        <w:t xml:space="preserve">. U DCCT, smanjenje </w:t>
      </w:r>
      <w:r>
        <w:t xml:space="preserve">HbA1c </w:t>
      </w:r>
      <w:r w:rsidR="007433C9">
        <w:t xml:space="preserve"> za </w:t>
      </w:r>
      <w:r>
        <w:t>2% (22 mmol / mol</w:t>
      </w:r>
      <w:r w:rsidR="007433C9">
        <w:t>)</w:t>
      </w:r>
      <w:r>
        <w:t xml:space="preserve"> značajno </w:t>
      </w:r>
      <w:r w:rsidR="007433C9">
        <w:t>je smanjilo rizik od nastanka</w:t>
      </w:r>
      <w:r>
        <w:t xml:space="preserve"> i progresij</w:t>
      </w:r>
      <w:r w:rsidR="007433C9">
        <w:t>e retinopatije i nefropatije, iako je apsolutno smanjenja bilo nisko z</w:t>
      </w:r>
      <w:r>
        <w:t>a HbA1c, 7,5% (58 mmol / mol</w:t>
      </w:r>
      <w:r w:rsidR="007433C9">
        <w:t>)</w:t>
      </w:r>
      <w:r>
        <w:t xml:space="preserve">. </w:t>
      </w:r>
    </w:p>
    <w:p w:rsidR="00123D4C" w:rsidRDefault="00123D4C" w:rsidP="00123D4C">
      <w:r>
        <w:t>4.2.2 Makrovaskularne bo</w:t>
      </w:r>
      <w:r w:rsidR="007433C9">
        <w:t>lesti: srednjoročne posljedice kontrole</w:t>
      </w:r>
      <w:r>
        <w:t xml:space="preserve"> glikemije </w:t>
      </w:r>
    </w:p>
    <w:p w:rsidR="00123D4C" w:rsidRDefault="00AA61D0" w:rsidP="00123D4C">
      <w:r>
        <w:t>Akcija za kontrol</w:t>
      </w:r>
      <w:r w:rsidR="00123D4C">
        <w:t>u kardiovaskularnog rizika kod dijabetesa (ACCORD</w:t>
      </w:r>
      <w:r>
        <w:t>)</w:t>
      </w:r>
      <w:r w:rsidR="00123D4C">
        <w:t xml:space="preserve">. </w:t>
      </w:r>
    </w:p>
    <w:p w:rsidR="00123D4C" w:rsidRDefault="00AA61D0" w:rsidP="00123D4C">
      <w:r>
        <w:lastRenderedPageBreak/>
        <w:t>Ukupno</w:t>
      </w:r>
      <w:r w:rsidR="00123D4C">
        <w:t xml:space="preserve"> 10 251</w:t>
      </w:r>
      <w:r>
        <w:t xml:space="preserve"> osoba sa DM tip2 sa</w:t>
      </w:r>
      <w:r w:rsidR="00123D4C">
        <w:t xml:space="preserve"> vi</w:t>
      </w:r>
      <w:r>
        <w:t>sokim kardiovaskularnim rizikom randomizovano je</w:t>
      </w:r>
      <w:r w:rsidR="00123D4C">
        <w:t xml:space="preserve"> </w:t>
      </w:r>
      <w:r>
        <w:t xml:space="preserve"> </w:t>
      </w:r>
      <w:r w:rsidR="00123D4C">
        <w:t xml:space="preserve">na intenzivnu kontrolu glukoze. Oni su postigli HbA1c od </w:t>
      </w:r>
      <w:r>
        <w:t>6,4% (46 mmol / mol) ili na  standardnom</w:t>
      </w:r>
      <w:r w:rsidR="00123D4C">
        <w:t xml:space="preserve"> tretman</w:t>
      </w:r>
      <w:r>
        <w:t xml:space="preserve">u </w:t>
      </w:r>
      <w:r w:rsidR="00123D4C">
        <w:t xml:space="preserve">HbA1c </w:t>
      </w:r>
      <w:r>
        <w:t xml:space="preserve">od 7,5% (58 mmol / mol ). </w:t>
      </w:r>
      <w:r w:rsidR="00123D4C">
        <w:t xml:space="preserve"> Nakon </w:t>
      </w:r>
      <w:r>
        <w:t>prosječnog</w:t>
      </w:r>
      <w:r w:rsidR="00123D4C">
        <w:t xml:space="preserve"> praćenja od 3,5 godina, </w:t>
      </w:r>
      <w:r>
        <w:t>studija je prekinuta</w:t>
      </w:r>
      <w:r w:rsidR="00123D4C">
        <w:t xml:space="preserve"> zbog v</w:t>
      </w:r>
      <w:r>
        <w:t xml:space="preserve">eće smrtnosti u intenziviranoj ruci (14/1000 vs 11/1000 pacijenata/godišnje smrtnih ishoda), uglavnom kardiovaskularnog mortaliteta. </w:t>
      </w:r>
      <w:r w:rsidR="00ED3BC4">
        <w:t>Hipoglikemija je bila češća kod intenziviranog tretmana i u pacijenata sa lošijom glikemijskom kontrolom</w:t>
      </w:r>
      <w:r w:rsidR="00123D4C">
        <w:t xml:space="preserve"> </w:t>
      </w:r>
      <w:r w:rsidR="00ED3BC4">
        <w:t xml:space="preserve">, iako je uloga hipoglikemije u razvoju </w:t>
      </w:r>
      <w:r w:rsidR="00C9499B">
        <w:t>CVD</w:t>
      </w:r>
      <w:r w:rsidR="00ED3BC4">
        <w:t xml:space="preserve"> dešavanja još uvije nepotpuno razjašnjena. Dalje analize su otkrile da je viši mortalitet možda povezan sa fluktuacijama glukoze u kombinaciji sa nemogućnošću</w:t>
      </w:r>
      <w:r w:rsidR="00AA7FA8">
        <w:t xml:space="preserve"> da se u ciljnim organima kontroliše nivo glukoze, uprkos </w:t>
      </w:r>
      <w:r w:rsidR="00341AF2">
        <w:t xml:space="preserve"> agresivnom tretmanu. Dalje praćenje ACCORD-a nije podržalo teoriju sa su teške simptomatske hipoglikemije povezane sa višim mortalitetom.</w:t>
      </w:r>
    </w:p>
    <w:p w:rsidR="00341AF2" w:rsidRDefault="002E5E53" w:rsidP="00FD35E3">
      <w:r>
        <w:t xml:space="preserve">Action in Diabetesand Vascular Disease: Preteraxand Diamicron Modified Release Controlled Evaluation </w:t>
      </w:r>
      <w:r w:rsidR="00341AF2">
        <w:t xml:space="preserve"> (ADVANCE). 11 140 osoba sa DM tip 2 sa visokim kardiovaskularnim rizikom su randomizovani na intenziviranu i konvencionalnu terapiju. Intenzivirana ruka je postigla HbA1c 6.5%(48mmol/mol) u poređenju sa konvencionalnom 7.3% (56mmol/mol).</w:t>
      </w:r>
      <w:r>
        <w:t xml:space="preserve"> Glavni ishodi (velike makro i mikrovaskularne komplikacije)</w:t>
      </w:r>
      <w:r w:rsidRPr="002E5E53">
        <w:t xml:space="preserve"> (HR) 0.90; 95% CI 0.82–0.98]</w:t>
      </w:r>
      <w:r>
        <w:t xml:space="preserve"> su redukovane u intenziviranoj ruci  zahvaljujući redukciji u nefropatiji. Intenzivirana glikemijska kontrola nije uspjela uticati na makrovaskularnu komponentu</w:t>
      </w:r>
      <w:r w:rsidR="00FD35E3">
        <w:t xml:space="preserve"> primarnih ishoda </w:t>
      </w:r>
      <w:r w:rsidR="00FD35E3" w:rsidRPr="00FD35E3">
        <w:t>(HR 0.94; 95% CI 0.84–1.06).</w:t>
      </w:r>
      <w:r w:rsidR="00FD35E3">
        <w:t xml:space="preserve"> U odnosu na ACCORD, nije bilo povećanja mortaliteta (HR 0.93;95% CI 0.83–1.06) uprkos sličnom sniženju HbA1c. Teška hipoglikemija je bila tri puta niža u intenziviranoj grupi Advance-a u odnosu na ACCORD, a nivo HbA1c je postignut sporijim tempom. Takođe, studije su imale različit bazni </w:t>
      </w:r>
      <w:r w:rsidR="00C9499B">
        <w:t>CVD</w:t>
      </w:r>
      <w:r w:rsidR="00FD35E3">
        <w:t xml:space="preserve"> rizik, sa većom stopom dešavanja u kontrolnoj grupi ADVANCE-a.</w:t>
      </w:r>
    </w:p>
    <w:p w:rsidR="00FD35E3" w:rsidRDefault="00FD35E3" w:rsidP="00FD35E3">
      <w:r w:rsidRPr="00FD35E3">
        <w:t>Veterans Administration Diabetes Trial (VADT).</w:t>
      </w:r>
      <w:r>
        <w:t xml:space="preserve"> 1791 pacijent sa DM tip 2 je randomizovan u intenziviranu i standardnu terapijsku grupu, sa postizanjem HbA1c 6,9%  (52mmol/mol) u intenziviranoj grupi u poređenju sa 8,4% (68mmol/mol) u standardnoj. Nije bilo signifikantne redukcije u primarnim </w:t>
      </w:r>
      <w:r w:rsidR="00C9499B">
        <w:t>CVD</w:t>
      </w:r>
      <w:r>
        <w:t xml:space="preserve"> ishodima i intenziviranoj grupi </w:t>
      </w:r>
      <w:r w:rsidRPr="00FD35E3">
        <w:t>(HR 0.88; 95% CI 0.74–1.05).</w:t>
      </w:r>
    </w:p>
    <w:p w:rsidR="00FD35E3" w:rsidRDefault="00FD35E3" w:rsidP="00FD35E3">
      <w:r w:rsidRPr="00FD35E3">
        <w:t>ORIGIN (Outcome Reduction with Initial Glargine Intervention).</w:t>
      </w:r>
      <w:r>
        <w:t xml:space="preserve"> 12537 osoba (srednje starosti 63.5godina) sa visokim </w:t>
      </w:r>
      <w:r w:rsidR="00C9499B">
        <w:t>CVD</w:t>
      </w:r>
      <w:r>
        <w:t xml:space="preserve"> rizikom plus IFG, IGT ili DM tip 2 su randomizovani da primaju glargine (sa ciljnom glikemijom našte 5.3mmol/L(&lt;95mg/dL) ili standardnu terapiju. Nakon </w:t>
      </w:r>
      <w:r w:rsidR="00D14772">
        <w:t>praćenja 6.2godine, KV ishodi su bili slični u obe grupe. Nivoi teških hipoglikemija su bili 1.0vs0.31 na 100osoba/godini. Srednja tjelesna masa se povećala za 1.6kg u grupi sa glarginom u odnosu na pad od 0.5kg u standardnoj grupi.</w:t>
      </w:r>
    </w:p>
    <w:p w:rsidR="00D14772" w:rsidRDefault="00D14772" w:rsidP="00FD35E3">
      <w:r>
        <w:t>Zaključak. Meta analiza kardiovaskularnih ishoda baziranih na studijama VADT, ACCORD i ADVANCE ukazuje da redukcija HbA1c za 1% je bial povezana sa 15% redukcijom relativnog rizika (RRR) kod nesmrtonosnih IM, bez benefita u smislu moždanog udara ili ukupnog mortaliteta.</w:t>
      </w:r>
      <w:r w:rsidR="0086088F">
        <w:t xml:space="preserve"> No, pacijenti sa kratkom istorijom DM tip 2, nižim nivoom početnog HbA1c na randomizaciji, i bez istorije </w:t>
      </w:r>
      <w:r w:rsidR="00C9499B">
        <w:t>CVD</w:t>
      </w:r>
      <w:r w:rsidR="0086088F">
        <w:t xml:space="preserve"> se čini da su imali benefita od intenzivirane terapije. Ovo podupire ORIGIN, koji nije pokazao ni benefit ni </w:t>
      </w:r>
      <w:r w:rsidR="006D4BAE">
        <w:t xml:space="preserve">štetu po KV ishode, iako je insulin bio povezan sa povećanim hipoglikemijama. Ovo ukazuje na to se intenzivirana glikemijska kontrola treba adekvatno primijeniti na individualiziran način uzimajući u obzir starost, trajanje DM tip 2 i istoriju </w:t>
      </w:r>
      <w:r w:rsidR="00C9499B">
        <w:t>CVD</w:t>
      </w:r>
      <w:r w:rsidR="006D4BAE">
        <w:t>.</w:t>
      </w:r>
    </w:p>
    <w:p w:rsidR="006D4BAE" w:rsidRDefault="006D4BAE" w:rsidP="00FD35E3">
      <w:r>
        <w:t>4.2.3 Makrovaskularna bolest: dugoročni efekti glikemijske kontrole</w:t>
      </w:r>
    </w:p>
    <w:p w:rsidR="006D4BAE" w:rsidRDefault="006D4BAE" w:rsidP="006D4BAE">
      <w:r>
        <w:lastRenderedPageBreak/>
        <w:t>Diabetes Control and Complications Trial (DCCT) and Epidemiology of Diabetes Interventions and Complications(EDIC). U DCCT, kardiovaskularni događaji se nisu pogoršali u grupi sa intenziviranom terapijom. Nakon završetka studije, 93% kohorte je bilo praćeno dodatnih 11 godina (EDIC), gdje su u tom periodu razlike u HbA1c nestale. U toku 17-godišnjeg praćenja, rizik bilo kojeg KV događaja je redukovan u intenziviranoj grupi za 42% (9-63</w:t>
      </w:r>
      <w:r w:rsidR="005F4604">
        <w:t>%; P&lt;0.01).</w:t>
      </w:r>
    </w:p>
    <w:p w:rsidR="005F4604" w:rsidRDefault="005F4604" w:rsidP="006D4BAE">
      <w:r w:rsidRPr="005F4604">
        <w:t>United Kingdom Prospective Diabetes Study (UKPDS).</w:t>
      </w:r>
      <w:r>
        <w:t xml:space="preserve"> Iako je jasna redukcija u mikrovaskularnim komplikacijama bila evidentna, redukcija u IM je bila samo 16% (P=0.052). u produženoj fazi, redukcija rizika u IM je ostala 15% što je postalo signifikantno kako se broj slučajeva povećavao. Bitno je notirati da</w:t>
      </w:r>
      <w:r w:rsidR="004A5C4C">
        <w:t xml:space="preserve"> je ova studija izvedena kada su</w:t>
      </w:r>
      <w:r>
        <w:t xml:space="preserve"> snižavanje lipida</w:t>
      </w:r>
      <w:r w:rsidR="004A5C4C">
        <w:t xml:space="preserve"> i krvni pritisak bili mnogo manje efektivno kontrolisania možda je bilo lakše potvrditi benefit agenasa za sniženje glikemije nego u kasnijim studijama.</w:t>
      </w:r>
    </w:p>
    <w:p w:rsidR="004A5C4C" w:rsidRDefault="004A5C4C" w:rsidP="006D4BAE">
      <w:r>
        <w:t>Zaključak: DCCT i UKPDS pokazuju da kod DM tip1 i DM tip2 glikemijska kontrola je važna za redukovanje dugoročnih makrovaskularnih komplikacija; veoma dugi periodi praćenja su neophodni za demonstraciju efekata.</w:t>
      </w:r>
    </w:p>
    <w:p w:rsidR="004A5C4C" w:rsidRDefault="004A5C4C" w:rsidP="006D4BAE">
      <w:r>
        <w:t>4.2.4 Glikemijski ciljevi</w:t>
      </w:r>
    </w:p>
    <w:p w:rsidR="004A5C4C" w:rsidRDefault="004A5C4C" w:rsidP="006D4BAE">
      <w:r>
        <w:t xml:space="preserve">Ciljni HbA1c &lt;7% (&lt;53mmol/mol) je </w:t>
      </w:r>
      <w:r w:rsidR="00001951">
        <w:t>preporucen</w:t>
      </w:r>
      <w:r>
        <w:t xml:space="preserve"> za redukciju mikrovaskularne bolesti</w:t>
      </w:r>
      <w:r w:rsidR="00001951">
        <w:t>. Dokazi za ciljne HbA1c vrijednosti u vezi sa makrovaskularnim bolestima su manje uvjerljivi</w:t>
      </w:r>
      <w:r w:rsidR="00DD56A5">
        <w:t>, shodno kompleksnosti hronične, progresivne prirode DM-a i efekata metaboličke memorije. Konsenzus kaže da cilj treba biti HbA1c&lt;7% uz uzimanje u obzir individualne karakteristike svakog pacijenta. Idealno, striktna kontrola se treba primijeniti kod mlađih pacijenata bez prisutnih komorbiditeta. Uspješno snižavanje glikemije je omogućeno samokontrolom nivoa glukoze u krvi, najviše kod pacijenata na insulinskoj terapiji.</w:t>
      </w:r>
      <w:r w:rsidR="00995A7B">
        <w:t xml:space="preserve"> Iako je postprandijalna hiperglikemija povezana sa povećanom incidencom </w:t>
      </w:r>
      <w:r w:rsidR="00C9499B">
        <w:t>CVD</w:t>
      </w:r>
      <w:r w:rsidR="00995A7B">
        <w:t xml:space="preserve"> dešavanja, kontroverzno je da li rješavanje iste predstavlja benefit za </w:t>
      </w:r>
      <w:r w:rsidR="00C9499B">
        <w:t>CVD</w:t>
      </w:r>
      <w:r w:rsidR="00995A7B">
        <w:t xml:space="preserve"> ishode. Stroži ciljevi (HbA1c 6-6.5% 42-48mmol/mol) mogu se uzeti u obzir u odabranih pacijenata sa kratkim trajanje bolesti, dugim očekivanim životnim vijekom, bez značajnih </w:t>
      </w:r>
      <w:r w:rsidR="00C9499B">
        <w:t>CVD</w:t>
      </w:r>
      <w:r w:rsidR="00995A7B">
        <w:t>, ako se postiže bez hipoglikemija ili drugih neželjenih reakcija. Kao što je diskutovano, akumulisani rezultati DM tip2 kardiovaskularnih studija pokazuju da nemaju svi benefit od agresivnog pristupa u snižavanju glikemije, te da je važan individualni pristup</w:t>
      </w:r>
    </w:p>
    <w:p w:rsidR="00995A7B" w:rsidRDefault="00995A7B" w:rsidP="006D4BAE">
      <w:r>
        <w:t>4.2.5 agensi za snižavanje glikemije</w:t>
      </w:r>
    </w:p>
    <w:p w:rsidR="00995A7B" w:rsidRDefault="00995A7B" w:rsidP="006D4BAE">
      <w:r>
        <w:t>Detaljan opsi izbora agensa za snižavanje glikemije i uloga kombinovane terapije je van opsega ovog dokumenta i ekstenzivno je razmatrana u skorašnjim zajedničkim ADA/EASD smjernicama.</w:t>
      </w:r>
    </w:p>
    <w:p w:rsidR="00995A7B" w:rsidRDefault="00995A7B" w:rsidP="000D1873">
      <w:r>
        <w:t>Kardiovaskularna sigurnost agenasa za snižavanje glikemije. Mogući neželjeni kardiovaskularni efekti rosiglitazona su izazvali pitanja glede kardiovaskularne sigurnosti agenasa za snižavanje glikemije, posebno njihovih kombinacija. Desetogodišnje poststudijsko praćenje UKPDS je otkrilo da pacijenti liječeni Sulfonilurejom-insulinom su imali nivo rizika RR za IM 0.85(P=0.01) a za smrtni ishod 0.87 (P&lt;0.007). odgovarajući RR kod pretilih pacijenata je bio 0.67 (P=0.005) i 0.73(P=0.002).</w:t>
      </w:r>
      <w:r w:rsidR="000D1873">
        <w:t xml:space="preserve"> Iako je UKPDS sugerisao da metformin ima povoljan efekat na </w:t>
      </w:r>
      <w:r w:rsidR="00C9499B">
        <w:t>CVD</w:t>
      </w:r>
      <w:r w:rsidR="000D1873">
        <w:t xml:space="preserve"> ishod, ne postoji ni jedan drugi jasan dokaz da podrži ovaj stav i metformin u kombinaciji sa sulfonilurejom može biti štetan. No, rezultati ove meta analize takođe sugerišu benefit nakon dugotrajnog liječenja kod mlađih pacijenata. Pioglitazon je redukovao sekundarne vaskularne promjene u PROactive (PROspective pioglitAzone Clinical Trial In macroVascular Events) studiji (HR 0.84; 95% CI 0.72–0.98; P ¼ 0.027), no primarni </w:t>
      </w:r>
      <w:r w:rsidR="000D1873">
        <w:lastRenderedPageBreak/>
        <w:t xml:space="preserve">ishodi nisu postigli značajnost i interpretacija ovih rezulatata ostaje neadekvatna. Pioglitazon je povezan sa retencijom tečnosti sekundarno sa renalnim efektima i perifernim edemima, i pogoršanjem postojeće srčane insuficijencije. U </w:t>
      </w:r>
      <w:r w:rsidR="000D1873" w:rsidRPr="000D1873">
        <w:t>STOP-NIDD</w:t>
      </w:r>
      <w:r w:rsidR="000D1873">
        <w:t xml:space="preserve">M (Study to prevent non insulin </w:t>
      </w:r>
      <w:r w:rsidR="000D1873" w:rsidRPr="000D1873">
        <w:t>dependent diabetes)</w:t>
      </w:r>
      <w:r w:rsidR="000D1873">
        <w:t xml:space="preserve"> studiji, akarboza u pacijenata sa IGT je redukovala broj </w:t>
      </w:r>
      <w:r w:rsidR="00C9499B">
        <w:t>CVD</w:t>
      </w:r>
      <w:r w:rsidR="000D1873">
        <w:t xml:space="preserve"> dešavanja, uključijući </w:t>
      </w:r>
      <w:r w:rsidR="00C9499B">
        <w:t>CVD</w:t>
      </w:r>
      <w:r w:rsidR="000D1873">
        <w:t xml:space="preserve"> mortalitet. Meglitinidi nisu još formalno testirani kod DM tip 2, ali u visokorizičnih pacijenata sa IGT neteglinid nije redukovao fatalne ili nefatalne </w:t>
      </w:r>
      <w:r w:rsidR="00C9499B">
        <w:t>CVD</w:t>
      </w:r>
      <w:r w:rsidR="00592C9A">
        <w:t xml:space="preserve"> događaje. Podaci o ishodu </w:t>
      </w:r>
      <w:r w:rsidR="000D1873">
        <w:t xml:space="preserve"> RCT još nisu objavljeni za glukagon-like peptid 1 agoniste,</w:t>
      </w:r>
      <w:r w:rsidR="00592C9A">
        <w:t xml:space="preserve"> inhibitore</w:t>
      </w:r>
      <w:r w:rsidR="000D1873">
        <w:t xml:space="preserve"> dipeptil</w:t>
      </w:r>
      <w:r w:rsidR="00592C9A">
        <w:t>peptidaze-4(DPP4) ili inhibitore Na glukoza kotransporteta2 (SGLT2) ali prospektivne studije su u toku.</w:t>
      </w:r>
    </w:p>
    <w:p w:rsidR="00592C9A" w:rsidRDefault="00592C9A" w:rsidP="000D1873">
      <w:r>
        <w:t>4.2.6 posebna razmatranja</w:t>
      </w:r>
    </w:p>
    <w:p w:rsidR="00592C9A" w:rsidRDefault="00592C9A" w:rsidP="000D1873">
      <w:r>
        <w:t>Hipoglikemija. Intenzivirano snižavanje glikemije povećava incidencu teške hipoglikemije tri do četiri puta i kod tipa 1 i 2 DM.</w:t>
      </w:r>
      <w:r w:rsidR="002D6750">
        <w:t xml:space="preserve"> Poremećaj svjesnosti hipoglikemije se povećava trajanjem DM i značajan je riziko faktor za samu hipoglikemiju, što mora biti uzeto u obzir kod određivanja terapije. Uz kratkoročne rizike srčane aritmije i </w:t>
      </w:r>
      <w:r w:rsidR="00C9499B">
        <w:t>CVD</w:t>
      </w:r>
      <w:r w:rsidR="002D6750">
        <w:t xml:space="preserve"> događaja, gugoročni rizici su i demencija i kognitivna disfukcija. Ishodi studija sniženja glikemije su podigli pitanje o tome da li je hipoglikemija važan riziko faktor za IM kod oboljelih od DM. Frier et al.su ektenzivno izvijestili na ovu temu, dajući dokaze za veliki broj negativnig efekata hipoglikemije na KV sistem, posebno pri postojanju autonomne neuropatije. Insulin, meglitinidi i sulfonilureja su posebno povezani sa hipoglikemijom, u oba tipu 1 i 2 dijabetasa.</w:t>
      </w:r>
    </w:p>
    <w:p w:rsidR="002D6750" w:rsidRDefault="002D6750" w:rsidP="000D1873">
      <w:r>
        <w:t>Agensi za sniženje glikemije kod hronične bolesti bubrega. Oko 25% osoba  oboljelih od Dm pate i od  hronične bolesti bubrega (CKD) stadijuma 3-4 (procijenjena glomerularna filtracija eGFR&lt;50mL/min.</w:t>
      </w:r>
    </w:p>
    <w:tbl>
      <w:tblPr>
        <w:tblStyle w:val="TableGrid"/>
        <w:tblW w:w="0" w:type="auto"/>
        <w:tblLook w:val="04A0" w:firstRow="1" w:lastRow="0" w:firstColumn="1" w:lastColumn="0" w:noHBand="0" w:noVBand="1"/>
      </w:tblPr>
      <w:tblGrid>
        <w:gridCol w:w="2322"/>
        <w:gridCol w:w="2322"/>
        <w:gridCol w:w="2322"/>
        <w:gridCol w:w="2322"/>
      </w:tblGrid>
      <w:tr w:rsidR="002D6750" w:rsidTr="002D6750">
        <w:tc>
          <w:tcPr>
            <w:tcW w:w="2322" w:type="dxa"/>
          </w:tcPr>
          <w:p w:rsidR="002D6750" w:rsidRDefault="002D6750" w:rsidP="000D1873">
            <w:r>
              <w:t>Preporuke</w:t>
            </w:r>
          </w:p>
        </w:tc>
        <w:tc>
          <w:tcPr>
            <w:tcW w:w="2322" w:type="dxa"/>
          </w:tcPr>
          <w:p w:rsidR="002D6750" w:rsidRDefault="002D6750" w:rsidP="000D1873">
            <w:r>
              <w:t>Klasa</w:t>
            </w:r>
          </w:p>
        </w:tc>
        <w:tc>
          <w:tcPr>
            <w:tcW w:w="2322" w:type="dxa"/>
          </w:tcPr>
          <w:p w:rsidR="002D6750" w:rsidRDefault="002D6750" w:rsidP="000D1873">
            <w:r>
              <w:t>Nivo</w:t>
            </w:r>
          </w:p>
        </w:tc>
        <w:tc>
          <w:tcPr>
            <w:tcW w:w="2322" w:type="dxa"/>
          </w:tcPr>
          <w:p w:rsidR="002D6750" w:rsidRDefault="002D6750" w:rsidP="000D1873">
            <w:r>
              <w:t>Ref.</w:t>
            </w:r>
          </w:p>
        </w:tc>
      </w:tr>
      <w:tr w:rsidR="002D6750" w:rsidTr="002D6750">
        <w:tc>
          <w:tcPr>
            <w:tcW w:w="2322" w:type="dxa"/>
          </w:tcPr>
          <w:p w:rsidR="002D6750" w:rsidRDefault="002D6750" w:rsidP="000D1873">
            <w:r>
              <w:t>Preporučuje se da se snižavanje glikemije treba vršiti individualizirano uzimajući u obzir trajanje DM-a, komorbiditete i starost</w:t>
            </w:r>
          </w:p>
        </w:tc>
        <w:tc>
          <w:tcPr>
            <w:tcW w:w="2322" w:type="dxa"/>
          </w:tcPr>
          <w:p w:rsidR="002D6750" w:rsidRDefault="002D6750" w:rsidP="000D1873">
            <w:r>
              <w:t>I</w:t>
            </w:r>
          </w:p>
        </w:tc>
        <w:tc>
          <w:tcPr>
            <w:tcW w:w="2322" w:type="dxa"/>
          </w:tcPr>
          <w:p w:rsidR="002D6750" w:rsidRDefault="002D6750" w:rsidP="000D1873">
            <w:r>
              <w:t>C</w:t>
            </w:r>
          </w:p>
        </w:tc>
        <w:tc>
          <w:tcPr>
            <w:tcW w:w="2322" w:type="dxa"/>
          </w:tcPr>
          <w:p w:rsidR="002D6750" w:rsidRDefault="002D6750" w:rsidP="000D1873"/>
        </w:tc>
      </w:tr>
      <w:tr w:rsidR="002D6750" w:rsidTr="002D6750">
        <w:tc>
          <w:tcPr>
            <w:tcW w:w="2322" w:type="dxa"/>
          </w:tcPr>
          <w:p w:rsidR="002D6750" w:rsidRDefault="002D6750" w:rsidP="000D1873">
            <w:r>
              <w:t>Preporučuje se</w:t>
            </w:r>
            <w:r w:rsidR="00283EAD">
              <w:t xml:space="preserve"> primjena stroge kontrole glikemije sa ciljanjem skoro normalnog HbA1c (&lt;7% ili &lt;53mmol/mol) kako bi se smanjile mikrovaskularne komplikacije u DM tip 1 i 2</w:t>
            </w:r>
          </w:p>
        </w:tc>
        <w:tc>
          <w:tcPr>
            <w:tcW w:w="2322" w:type="dxa"/>
          </w:tcPr>
          <w:p w:rsidR="002D6750" w:rsidRDefault="00283EAD" w:rsidP="000D1873">
            <w:r>
              <w:t>I</w:t>
            </w:r>
          </w:p>
        </w:tc>
        <w:tc>
          <w:tcPr>
            <w:tcW w:w="2322" w:type="dxa"/>
          </w:tcPr>
          <w:p w:rsidR="002D6750" w:rsidRDefault="00283EAD" w:rsidP="000D1873">
            <w:r>
              <w:t>A</w:t>
            </w:r>
          </w:p>
        </w:tc>
        <w:tc>
          <w:tcPr>
            <w:tcW w:w="2322" w:type="dxa"/>
          </w:tcPr>
          <w:p w:rsidR="002D6750" w:rsidRDefault="00283EAD" w:rsidP="000D1873">
            <w:r>
              <w:t>69-71,73,81</w:t>
            </w:r>
          </w:p>
        </w:tc>
      </w:tr>
      <w:tr w:rsidR="002D6750" w:rsidTr="002D6750">
        <w:tc>
          <w:tcPr>
            <w:tcW w:w="2322" w:type="dxa"/>
          </w:tcPr>
          <w:p w:rsidR="002D6750" w:rsidRDefault="00283EAD" w:rsidP="000D1873">
            <w:r>
              <w:t>Ciljni HbA1c od &lt;7% (&lt;53mmol/mol)</w:t>
            </w:r>
            <w:r w:rsidR="00C9499B">
              <w:t xml:space="preserve"> se treba razmotriti za prevenciju CVD u DM tip 1 i 2</w:t>
            </w:r>
          </w:p>
        </w:tc>
        <w:tc>
          <w:tcPr>
            <w:tcW w:w="2322" w:type="dxa"/>
          </w:tcPr>
          <w:p w:rsidR="002D6750" w:rsidRDefault="00C9499B" w:rsidP="000D1873">
            <w:r>
              <w:t>IIa</w:t>
            </w:r>
          </w:p>
        </w:tc>
        <w:tc>
          <w:tcPr>
            <w:tcW w:w="2322" w:type="dxa"/>
          </w:tcPr>
          <w:p w:rsidR="002D6750" w:rsidRDefault="00C9499B" w:rsidP="000D1873">
            <w:r>
              <w:t>C</w:t>
            </w:r>
          </w:p>
        </w:tc>
        <w:tc>
          <w:tcPr>
            <w:tcW w:w="2322" w:type="dxa"/>
          </w:tcPr>
          <w:p w:rsidR="002D6750" w:rsidRDefault="002D6750" w:rsidP="000D1873"/>
        </w:tc>
      </w:tr>
      <w:tr w:rsidR="002D6750" w:rsidTr="002D6750">
        <w:tc>
          <w:tcPr>
            <w:tcW w:w="2322" w:type="dxa"/>
          </w:tcPr>
          <w:p w:rsidR="002D6750" w:rsidRDefault="00C9499B" w:rsidP="000D1873">
            <w:r>
              <w:t xml:space="preserve">Režim bazalnih bolusa, kombinovan sa </w:t>
            </w:r>
            <w:r>
              <w:lastRenderedPageBreak/>
              <w:t>učestalim monitoringom glikemije je preporučen za optimizaciju kontrole glikemije u DM tip 1</w:t>
            </w:r>
          </w:p>
        </w:tc>
        <w:tc>
          <w:tcPr>
            <w:tcW w:w="2322" w:type="dxa"/>
          </w:tcPr>
          <w:p w:rsidR="002D6750" w:rsidRDefault="00C9499B" w:rsidP="000D1873">
            <w:r>
              <w:lastRenderedPageBreak/>
              <w:t>I</w:t>
            </w:r>
          </w:p>
        </w:tc>
        <w:tc>
          <w:tcPr>
            <w:tcW w:w="2322" w:type="dxa"/>
          </w:tcPr>
          <w:p w:rsidR="002D6750" w:rsidRDefault="00C9499B" w:rsidP="000D1873">
            <w:r>
              <w:t>A</w:t>
            </w:r>
          </w:p>
        </w:tc>
        <w:tc>
          <w:tcPr>
            <w:tcW w:w="2322" w:type="dxa"/>
          </w:tcPr>
          <w:p w:rsidR="002D6750" w:rsidRDefault="00C9499B" w:rsidP="000D1873">
            <w:r>
              <w:t>69,72</w:t>
            </w:r>
          </w:p>
        </w:tc>
      </w:tr>
      <w:tr w:rsidR="002D6750" w:rsidTr="002D6750">
        <w:tc>
          <w:tcPr>
            <w:tcW w:w="2322" w:type="dxa"/>
          </w:tcPr>
          <w:p w:rsidR="002D6750" w:rsidRDefault="00C9499B" w:rsidP="000D1873">
            <w:r>
              <w:lastRenderedPageBreak/>
              <w:t>Metformin se treba razmotriti kao prva linija terapije kod osoba sa DM tip 2 nakon evaluacije renalne funkcije</w:t>
            </w:r>
          </w:p>
        </w:tc>
        <w:tc>
          <w:tcPr>
            <w:tcW w:w="2322" w:type="dxa"/>
          </w:tcPr>
          <w:p w:rsidR="002D6750" w:rsidRDefault="00C9499B" w:rsidP="000D1873">
            <w:r>
              <w:t>IIa</w:t>
            </w:r>
          </w:p>
        </w:tc>
        <w:tc>
          <w:tcPr>
            <w:tcW w:w="2322" w:type="dxa"/>
          </w:tcPr>
          <w:p w:rsidR="002D6750" w:rsidRDefault="00C9499B" w:rsidP="000D1873">
            <w:r>
              <w:t>B</w:t>
            </w:r>
          </w:p>
        </w:tc>
        <w:tc>
          <w:tcPr>
            <w:tcW w:w="2322" w:type="dxa"/>
          </w:tcPr>
          <w:p w:rsidR="002D6750" w:rsidRDefault="00C9499B" w:rsidP="000D1873">
            <w:r>
              <w:t>71</w:t>
            </w:r>
          </w:p>
        </w:tc>
      </w:tr>
    </w:tbl>
    <w:p w:rsidR="00123D4C" w:rsidRDefault="00123D4C" w:rsidP="00123D4C"/>
    <w:p w:rsidR="00C9499B" w:rsidRDefault="00C9499B" w:rsidP="00123D4C">
      <w:r>
        <w:t xml:space="preserve">Pored povećanog CV rizika povezanog sa ovim, agensi za snižavanje glikemije se možda trebaju modifikovati, ili zato što je lijek kontraindikovan u CKD ili zato što doza treba biti povećana. Metformin, akarboza i većina sulfonilureja se trebaju izbjegavati u 3-4.fazi CKD, dok se insulin </w:t>
      </w:r>
      <w:r w:rsidR="00D441CF">
        <w:t>i pioglitazon mogu koristiti. DPP4 inhibitori zahtijevaju podešavanje doze kod progresivne CKD sa izuzetkom linagliptina, koji se dobro toleriše u ovakvim okolnostima. SGLT2 inhibitori nisu evaluisani u CKD.</w:t>
      </w:r>
    </w:p>
    <w:p w:rsidR="00D441CF" w:rsidRDefault="00D441CF" w:rsidP="00123D4C">
      <w:r>
        <w:t>Stariji pacijenti. Glikemijski ciljevi za starije pacijente sa dugotrajnim, komplikovanim dijabetesom trebaju biti manje ambiciozni u odnosu na</w:t>
      </w:r>
      <w:r w:rsidR="00C10B45">
        <w:t xml:space="preserve"> mlađe, zdravije pacijente. Ako se niži ciljevi ne mogu postići, HbA1c</w:t>
      </w:r>
      <w:r w:rsidR="00823F85">
        <w:t xml:space="preserve"> &lt;7.5-8% (&lt;58-64mmol/mol) je prihvatljiv, povećavajući ka gore kako se povećava starost, kapacitet za samobrigu a kako se smanjuju</w:t>
      </w:r>
      <w:r w:rsidR="000E785A">
        <w:t xml:space="preserve"> psihološki i ekonomski status te sistemska podrška.</w:t>
      </w:r>
    </w:p>
    <w:p w:rsidR="000E785A" w:rsidRDefault="000E785A" w:rsidP="00123D4C">
      <w:r>
        <w:t>Individualizacija njege. Uticaj na kvalitet života, neželjeni efekti polifarmaka i nezgodnost intenzivirane terapije moraju biti paljivo evaluirani za svakog pacijenta ponaosob. Iz perspektive javnog zdravlja, čak i mali padovi u srednjoj glikemije mogu se pokazati kao veliki napredak. S druge strane, intenzivirana terapija može predstavljati priličan teret i moguću štetu po pacijenta. Svaki pacijent se treba ohrabrivati da postigne kompromis između kontrole glikemije i vaskularnog rizika, a ako se ustanovi intenzivirana terapija pacijenti moraju biti informisani i razumijeti sve prednosti i rizike.</w:t>
      </w:r>
    </w:p>
    <w:p w:rsidR="000E785A" w:rsidRDefault="000E785A" w:rsidP="00123D4C">
      <w:r>
        <w:t>4.3 Krvni pritisak</w:t>
      </w:r>
    </w:p>
    <w:p w:rsidR="000E785A" w:rsidRDefault="000E785A" w:rsidP="000E785A">
      <w:r>
        <w:t>Hipertenzija i dijabetes su česta kombinacija koja uzrokuje četiri puta povećanje rizika kardiovaskularnih oboljenja. Gojaznost, starenje i pojava bubrežne</w:t>
      </w:r>
      <w:r w:rsidR="00A677DC">
        <w:t xml:space="preserve"> bolesti povećavaju prevalenciju hipertenzije, dok </w:t>
      </w:r>
      <w:r>
        <w:t xml:space="preserve">DM tip 2 udvostručuje rizik </w:t>
      </w:r>
      <w:r w:rsidR="00C961EA">
        <w:t>CVD</w:t>
      </w:r>
      <w:r>
        <w:t xml:space="preserve"> kod muškaraca i utrostručuje rizik kod žena. </w:t>
      </w:r>
    </w:p>
    <w:p w:rsidR="000E785A" w:rsidRDefault="000E785A" w:rsidP="000E785A">
      <w:r>
        <w:t xml:space="preserve">4.3.1 </w:t>
      </w:r>
      <w:r w:rsidR="00A677DC">
        <w:t>Terapijski ciljevi</w:t>
      </w:r>
      <w:r>
        <w:t xml:space="preserve"> </w:t>
      </w:r>
    </w:p>
    <w:p w:rsidR="000E785A" w:rsidRDefault="00A677DC" w:rsidP="000E785A">
      <w:r>
        <w:t>Randomizovane, kontrolisane</w:t>
      </w:r>
      <w:r w:rsidR="000E785A">
        <w:t xml:space="preserve"> studije u </w:t>
      </w:r>
      <w:r>
        <w:t xml:space="preserve">DM tip 2 su pokazale pozitivne </w:t>
      </w:r>
      <w:r w:rsidR="000E785A">
        <w:t>efekte na k</w:t>
      </w:r>
      <w:r>
        <w:t>ardiovaskularne ishode smanjenjem BP ispod 140 mm/Hg sistolni</w:t>
      </w:r>
      <w:r w:rsidR="000E785A">
        <w:t xml:space="preserve"> i 85 mm</w:t>
      </w:r>
      <w:r>
        <w:t>/Hg diastolni</w:t>
      </w:r>
      <w:r w:rsidR="000E785A">
        <w:t>.</w:t>
      </w:r>
      <w:r>
        <w:t xml:space="preserve"> U ACCORD-u relativno </w:t>
      </w:r>
      <w:r w:rsidR="000E785A">
        <w:t xml:space="preserve">smanjenje </w:t>
      </w:r>
      <w:r>
        <w:t>krajnjeg ishoda</w:t>
      </w:r>
      <w:r w:rsidR="000E785A">
        <w:t xml:space="preserve"> (ne-fatal</w:t>
      </w:r>
      <w:r w:rsidR="00C961EA">
        <w:t xml:space="preserve">nih MI, ne-fatalnih moždanih udara, </w:t>
      </w:r>
      <w:r w:rsidR="000E785A">
        <w:t xml:space="preserve">ili </w:t>
      </w:r>
      <w:r w:rsidR="00C961EA">
        <w:t xml:space="preserve">CVD smrti) pomoću </w:t>
      </w:r>
      <w:r w:rsidR="000E785A">
        <w:t>intenziv</w:t>
      </w:r>
      <w:r w:rsidR="00C961EA">
        <w:t xml:space="preserve">iranog liječenja (postignut srednja sistolni BP </w:t>
      </w:r>
      <w:r w:rsidR="000E785A">
        <w:t>119 mm Hg) u odn</w:t>
      </w:r>
      <w:r w:rsidR="00C961EA">
        <w:t xml:space="preserve">osu na standardni tretman (sredni sistolni BP </w:t>
      </w:r>
      <w:r w:rsidR="000E785A">
        <w:t xml:space="preserve">134 mm Hg) nije </w:t>
      </w:r>
      <w:r w:rsidR="00C961EA">
        <w:t xml:space="preserve">doseglo statističku signifikantnost. Dio </w:t>
      </w:r>
      <w:r w:rsidR="000E785A">
        <w:t>bolesnika s ozbiljnim n</w:t>
      </w:r>
      <w:r w:rsidR="00C961EA">
        <w:t>uspojavama</w:t>
      </w:r>
      <w:r w:rsidR="000E785A">
        <w:t xml:space="preserve"> (h</w:t>
      </w:r>
      <w:r w:rsidR="00C961EA">
        <w:t xml:space="preserve">ipotenzija i opadanju bubrežne </w:t>
      </w:r>
      <w:r w:rsidR="000E785A">
        <w:t xml:space="preserve">funkcija) </w:t>
      </w:r>
      <w:r w:rsidR="00C961EA">
        <w:t xml:space="preserve">je </w:t>
      </w:r>
      <w:r w:rsidR="000E785A">
        <w:t>porastao 1,3-3,3% sa agresiv</w:t>
      </w:r>
      <w:r w:rsidR="00C961EA">
        <w:t xml:space="preserve">nim </w:t>
      </w:r>
      <w:r w:rsidR="00C961EA">
        <w:lastRenderedPageBreak/>
        <w:t xml:space="preserve">tretmanom. U skladu s tim, </w:t>
      </w:r>
      <w:r w:rsidR="000E785A">
        <w:t xml:space="preserve">ova studija ne podržava smanjenje </w:t>
      </w:r>
      <w:r w:rsidR="00C961EA">
        <w:t xml:space="preserve">sistolnog BP ispod 130 mm Hg. Bangalore i al. Je prijavio meta-analizu </w:t>
      </w:r>
      <w:r w:rsidR="000E785A">
        <w:t xml:space="preserve">13 RCTs u bolesnika s DM, IFG ili </w:t>
      </w:r>
      <w:r w:rsidR="00C961EA">
        <w:t>IGT koji su</w:t>
      </w:r>
      <w:r w:rsidR="000E785A">
        <w:t>, u intenziv</w:t>
      </w:r>
      <w:r w:rsidR="00C961EA">
        <w:t>iranoj grupi, imali</w:t>
      </w:r>
      <w:r w:rsidR="000E785A">
        <w:t xml:space="preserve"> </w:t>
      </w:r>
      <w:r w:rsidR="00C961EA">
        <w:t>sistoln</w:t>
      </w:r>
      <w:r w:rsidR="000E785A">
        <w:t>i BP ≤135 mm Hg, a</w:t>
      </w:r>
      <w:r w:rsidR="00C961EA">
        <w:t xml:space="preserve"> u standardnoj grupi  </w:t>
      </w:r>
      <w:r w:rsidR="000E785A">
        <w:t>≤140 mm Hg. Intenziv</w:t>
      </w:r>
      <w:r w:rsidR="00C961EA">
        <w:t>ira</w:t>
      </w:r>
      <w:r w:rsidR="000E785A">
        <w:t xml:space="preserve">na kontrola </w:t>
      </w:r>
      <w:r w:rsidR="00C961EA">
        <w:t xml:space="preserve">krvnog pritiska je bila povezana sa </w:t>
      </w:r>
      <w:r w:rsidR="000E785A">
        <w:t xml:space="preserve">10% </w:t>
      </w:r>
      <w:r w:rsidR="00C961EA">
        <w:t>redukcijom svih uzroka</w:t>
      </w:r>
      <w:r w:rsidR="000E785A">
        <w:t xml:space="preserve"> smrtnosti (95% CI 0,83-0,98), smanjenje 17% </w:t>
      </w:r>
      <w:r w:rsidR="00C961EA">
        <w:t xml:space="preserve"> moždanog udara, ali</w:t>
      </w:r>
      <w:r w:rsidR="000E785A">
        <w:t xml:space="preserve"> porast</w:t>
      </w:r>
      <w:r w:rsidR="00C961EA">
        <w:t>om</w:t>
      </w:r>
      <w:r w:rsidR="000E785A">
        <w:t xml:space="preserve"> od 20% u</w:t>
      </w:r>
      <w:r w:rsidR="00C961EA">
        <w:t xml:space="preserve"> ozbiljnim štetnim događajima. Sistolni </w:t>
      </w:r>
      <w:r w:rsidR="000E785A">
        <w:t xml:space="preserve">BP ≤130 mm Hg koji </w:t>
      </w:r>
      <w:r w:rsidR="00F726A7">
        <w:t>je bio povezan s</w:t>
      </w:r>
      <w:r w:rsidR="000E785A">
        <w:t>a smanjenje</w:t>
      </w:r>
      <w:r w:rsidR="00F726A7">
        <w:t xml:space="preserve">m moždanog udara, </w:t>
      </w:r>
      <w:r w:rsidR="000E785A">
        <w:t xml:space="preserve">nije </w:t>
      </w:r>
      <w:r w:rsidR="00F726A7">
        <w:t>uticao</w:t>
      </w:r>
      <w:r w:rsidR="000E785A">
        <w:t xml:space="preserve"> na druge </w:t>
      </w:r>
      <w:r w:rsidR="00C961EA">
        <w:t>CVD</w:t>
      </w:r>
      <w:r w:rsidR="00F726A7">
        <w:t xml:space="preserve"> događaje</w:t>
      </w:r>
      <w:r w:rsidR="000E785A">
        <w:t xml:space="preserve">. </w:t>
      </w:r>
    </w:p>
    <w:p w:rsidR="000E785A" w:rsidRDefault="000E785A" w:rsidP="000E785A">
      <w:r>
        <w:t>Ukratko, pri</w:t>
      </w:r>
      <w:r w:rsidR="00F726A7">
        <w:t>sutni dokazi ukazuju na to da bi</w:t>
      </w:r>
      <w:r>
        <w:t xml:space="preserve"> BP</w:t>
      </w:r>
      <w:r w:rsidR="00F726A7">
        <w:t xml:space="preserve"> cilj trebao biti </w:t>
      </w:r>
      <w:r>
        <w:t xml:space="preserve"> 140/85 mm Hg u bolesnika s DM. Niži BP (</w:t>
      </w:r>
      <w:r w:rsidR="00C961EA">
        <w:t>sistoln</w:t>
      </w:r>
      <w:r w:rsidR="00F726A7">
        <w:t>i  130 mm Hg) može</w:t>
      </w:r>
      <w:r>
        <w:t xml:space="preserve"> se uzeti u obz</w:t>
      </w:r>
      <w:r w:rsidR="00F726A7">
        <w:t>ir u bolesnika s hipertenzijom i nefropatijom i proteinurijom</w:t>
      </w:r>
      <w:r>
        <w:t>.</w:t>
      </w:r>
      <w:r w:rsidR="00F726A7">
        <w:t xml:space="preserve"> Dalja redukcija mo</w:t>
      </w:r>
      <w:r w:rsidR="002A5C09">
        <w:t xml:space="preserve"> že biti povezana sa povećanim rizikom od neželjenih efekata, posebno sa višom starosnom granicom i dužim trajanjem DM tip2, a odnos rizici-benefit intenzive terapije BP treba biti razmotren za svakog pacijenta individualno.</w:t>
      </w:r>
    </w:p>
    <w:p w:rsidR="009E2626" w:rsidRDefault="009E2626" w:rsidP="009E2626">
      <w:r>
        <w:t xml:space="preserve">4.3.2 Upravljanje smanjenjem krvnog pritiska </w:t>
      </w:r>
    </w:p>
    <w:p w:rsidR="009E2626" w:rsidRDefault="009E2626" w:rsidP="009E2626">
      <w:r>
        <w:t xml:space="preserve">Lifestyle intervencije uključujući i ograničavanje soli i gubitak težine je terapijski osnova za sve pacijente s hipertenzijom; međutim, to je obično nedovoljno za adekvatnu kontrolu BP. </w:t>
      </w:r>
    </w:p>
    <w:p w:rsidR="009E2626" w:rsidRDefault="009E2626" w:rsidP="009E2626">
      <w:r>
        <w:t>Farmakološki tretman samo je testiran u nekoliko RCT-a poredeći kardiovaskularne ishoda sa agensima za BP-spuštanje, posebno ciljajući bolesnike s DM. Međutim, nekoliko RCT-a sa značajnim DM podgrupama je  konkretno izvijestilo o ishodu u ovim podgrupama. Blokada renin-angiotensin aldosterone sistema (RAAS), od strane ACE-inhibitora (ACE-I) ili angiotenzin-receptor blokera (ARB), je od posebne vrijednosti, kada Je u pitanju liječenje hipertenzije u DM na visokim kardiovaskularnim rizikom.</w:t>
      </w:r>
      <w:r w:rsidR="00EC6B89">
        <w:t xml:space="preserve"> Kao primarna intervencija </w:t>
      </w:r>
      <w:r>
        <w:t xml:space="preserve"> BP kontrole </w:t>
      </w:r>
      <w:r w:rsidR="00EC6B89">
        <w:t>je korištenje  RAAS blokatora koji</w:t>
      </w:r>
      <w:r>
        <w:t xml:space="preserve"> spr</w:t>
      </w:r>
      <w:r w:rsidR="00EC6B89">
        <w:t xml:space="preserve">iječavaju mikroalbuminuriju u DM tip 2 ali ne i u T1. Kao sekundarna intervencija, intenzivirana kontrola  BP korištenjem ACE-I usporava progresiju bubrežne bolesti u DM tip1 i redukujeterminalnu  bubrežnu insuficijeciju. </w:t>
      </w:r>
      <w:r>
        <w:t>U DM tip 2, visoke doze ramip</w:t>
      </w:r>
      <w:r w:rsidR="00EC6B89">
        <w:t xml:space="preserve">rila spriječavaju i </w:t>
      </w:r>
      <w:r>
        <w:t xml:space="preserve"> bubrežne </w:t>
      </w:r>
      <w:r w:rsidR="00EC6B89">
        <w:t>i kardiovaskularne</w:t>
      </w:r>
      <w:r>
        <w:t xml:space="preserve"> </w:t>
      </w:r>
      <w:r w:rsidR="00EC6B89">
        <w:t xml:space="preserve">ishode. </w:t>
      </w:r>
      <w:r>
        <w:t xml:space="preserve"> ARB </w:t>
      </w:r>
      <w:r w:rsidR="00EC6B89">
        <w:t xml:space="preserve">je smanjio progresiju od </w:t>
      </w:r>
      <w:r>
        <w:t>mikroalbuminur</w:t>
      </w:r>
      <w:r w:rsidR="00EC6B89">
        <w:t xml:space="preserve">ije do proteinurije i spriječava bubrežne ishode ali ne i kardiovaskularne. </w:t>
      </w:r>
      <w:r w:rsidR="00C50BAF">
        <w:t xml:space="preserve">DIRECT (DIabetic Retinopathy Candesartan Trials) </w:t>
      </w:r>
      <w:r>
        <w:t xml:space="preserve">studija </w:t>
      </w:r>
      <w:r w:rsidR="00C50BAF">
        <w:t>istraživala je</w:t>
      </w:r>
      <w:r>
        <w:t xml:space="preserve"> efekte </w:t>
      </w:r>
      <w:r w:rsidR="00C50BAF">
        <w:t xml:space="preserve">snižavanja krvnog pritiska </w:t>
      </w:r>
      <w:r>
        <w:t>sa candes</w:t>
      </w:r>
      <w:r w:rsidR="00C50BAF">
        <w:t>artan</w:t>
      </w:r>
      <w:r w:rsidR="005C7591">
        <w:t>om</w:t>
      </w:r>
      <w:r w:rsidR="00C50BAF">
        <w:t xml:space="preserve"> na razvoj i napredovanje </w:t>
      </w:r>
      <w:r w:rsidR="005C7591">
        <w:t>retinopatije i postojao</w:t>
      </w:r>
      <w:r>
        <w:t xml:space="preserve"> je </w:t>
      </w:r>
      <w:r w:rsidR="005C7591">
        <w:t xml:space="preserve">nesignifikantan  povoljan </w:t>
      </w:r>
      <w:r>
        <w:t>trend u T1</w:t>
      </w:r>
      <w:r w:rsidR="005C7591">
        <w:t xml:space="preserve"> </w:t>
      </w:r>
      <w:r>
        <w:t>DM i T2</w:t>
      </w:r>
      <w:r w:rsidR="005C7591">
        <w:t xml:space="preserve"> DM.</w:t>
      </w:r>
    </w:p>
    <w:p w:rsidR="009E2626" w:rsidRDefault="009E2626" w:rsidP="00B6455A">
      <w:r>
        <w:t>Dokazi podržava</w:t>
      </w:r>
      <w:r w:rsidR="002E79A9">
        <w:t xml:space="preserve">ju korištenje ACE-I, a ne kalcijumskih </w:t>
      </w:r>
      <w:r>
        <w:t>bloker</w:t>
      </w:r>
      <w:r w:rsidR="002E79A9">
        <w:t>a</w:t>
      </w:r>
      <w:r>
        <w:t>, kao inicijalna terapija za spr</w:t>
      </w:r>
      <w:r w:rsidR="002E79A9">
        <w:t>ij</w:t>
      </w:r>
      <w:r>
        <w:t>eča</w:t>
      </w:r>
      <w:r w:rsidR="002E79A9">
        <w:t xml:space="preserve">vanje ili usporavanje nastanka </w:t>
      </w:r>
      <w:r>
        <w:t>mikroalbuminurije u hiperte</w:t>
      </w:r>
      <w:r w:rsidR="002E79A9">
        <w:t xml:space="preserve">nzivnih bolesnika s DM. Dvojna RAAS  blokada, kombinujući ACE-I sa ARB, nije pokazivala dalje </w:t>
      </w:r>
      <w:r>
        <w:t xml:space="preserve">koristi u </w:t>
      </w:r>
      <w:r w:rsidR="002E79A9">
        <w:t xml:space="preserve">ONgoing Telmisartan Alone and in combination with Ramipril Global Endpoint Trial (ONTARGET)) i bila je povezana </w:t>
      </w:r>
      <w:r>
        <w:t xml:space="preserve">s više nuspojava. U </w:t>
      </w:r>
      <w:r w:rsidR="002E79A9">
        <w:t>Aliskiren Trial in Type 2 DiabetesUsing Cardio-Renal Endpoints (ALTITUDE)</w:t>
      </w:r>
      <w:r w:rsidR="00B6455A">
        <w:t xml:space="preserve"> studiji</w:t>
      </w:r>
      <w:r w:rsidR="002E79A9">
        <w:t xml:space="preserve">, </w:t>
      </w:r>
      <w:r w:rsidR="00B6455A">
        <w:t>dodatkom</w:t>
      </w:r>
      <w:r>
        <w:t xml:space="preserve"> aliskiren</w:t>
      </w:r>
      <w:r w:rsidR="00B6455A">
        <w:t xml:space="preserve">a </w:t>
      </w:r>
      <w:r>
        <w:t>RAAS</w:t>
      </w:r>
      <w:r w:rsidR="00B6455A">
        <w:t xml:space="preserve"> blokatorima u visoko rizičnog DM tip2 nije rezultirao smanjenjem u kardiovaskularnim dešavanjima i može čak biti štetan.</w:t>
      </w:r>
    </w:p>
    <w:p w:rsidR="009E2626" w:rsidRDefault="009E2626" w:rsidP="009E2626">
      <w:r>
        <w:t>Tiazidi i beta-blokatori s</w:t>
      </w:r>
      <w:r w:rsidR="00B6455A">
        <w:t xml:space="preserve">u povezani s povećanim rizikom </w:t>
      </w:r>
      <w:r>
        <w:t xml:space="preserve">razvijanja DM tip </w:t>
      </w:r>
      <w:r w:rsidR="00B6455A">
        <w:t xml:space="preserve">2, u odnosu na blokatore kalcijumskih kanala i RAAS inhibitora ali se ne zna da li oni rezultiraju metaboličkim nuspojavama od </w:t>
      </w:r>
      <w:r>
        <w:t>kli</w:t>
      </w:r>
      <w:r w:rsidR="00B6455A">
        <w:t>ničkih važnosti u postojećim DM tip 2. Nedavna meta-analize naglasila</w:t>
      </w:r>
      <w:r>
        <w:t xml:space="preserve"> je prioritet BP spuštanja </w:t>
      </w:r>
      <w:r w:rsidR="00B6455A">
        <w:t>u odnosu na izbor lijeka. U nedostatku kardioloških</w:t>
      </w:r>
      <w:r>
        <w:t xml:space="preserve"> komorbiditeta, beta blokatori </w:t>
      </w:r>
      <w:r w:rsidR="00B6455A">
        <w:t>nisu prvi izbor i odgovarajuća BP kontrola često zahtijeva kombinovanu terapiju</w:t>
      </w:r>
      <w:r>
        <w:t xml:space="preserve"> s R</w:t>
      </w:r>
      <w:r w:rsidR="00B6455A">
        <w:t>AAS inhibitorima i kalcijumskim  blokatorima</w:t>
      </w:r>
      <w:r>
        <w:t xml:space="preserve"> ili diuretic</w:t>
      </w:r>
      <w:r w:rsidR="00B6455A">
        <w:t>ima.</w:t>
      </w:r>
      <w:r>
        <w:t xml:space="preserve"> </w:t>
      </w:r>
      <w:r w:rsidR="001060CA">
        <w:t xml:space="preserve">The Avoiding Cardiovascular </w:t>
      </w:r>
      <w:r w:rsidR="00C43AAF">
        <w:t>Events through Combination Therapy i</w:t>
      </w:r>
      <w:r w:rsidR="001060CA">
        <w:t xml:space="preserve">n </w:t>
      </w:r>
      <w:r w:rsidR="001060CA">
        <w:lastRenderedPageBreak/>
        <w:t xml:space="preserve">Patients Living with Systolic </w:t>
      </w:r>
      <w:r w:rsidR="00C43AAF">
        <w:t xml:space="preserve">Hypertension (ACCOMPLISH) </w:t>
      </w:r>
      <w:r w:rsidR="001060CA">
        <w:t xml:space="preserve">studija pokazuje da je kalcijumski antagonist amlodipin </w:t>
      </w:r>
      <w:r>
        <w:t>superior</w:t>
      </w:r>
      <w:r w:rsidR="001060CA">
        <w:t xml:space="preserve">an u odnosu na hidroklortiazid </w:t>
      </w:r>
      <w:r>
        <w:t xml:space="preserve">u kombinaciji terapije </w:t>
      </w:r>
      <w:r w:rsidR="001060CA">
        <w:t>sa ACE-I.</w:t>
      </w:r>
    </w:p>
    <w:p w:rsidR="009E2626" w:rsidRDefault="009E2626" w:rsidP="009E2626">
      <w:r>
        <w:t xml:space="preserve">Kombinacija lijekova potrebna je kod </w:t>
      </w:r>
      <w:r w:rsidR="005177DD">
        <w:t>većine bolesnika. Svi dostupni lijekovi</w:t>
      </w:r>
      <w:r>
        <w:t xml:space="preserve"> mogu se koristiti, ali dokazi snažno podržava</w:t>
      </w:r>
      <w:r w:rsidR="005177DD">
        <w:t xml:space="preserve">ju uključivanje </w:t>
      </w:r>
      <w:r>
        <w:t>inhibitor RAAS (ACE-I / ARB) u prisustvu proteinurije</w:t>
      </w:r>
      <w:r w:rsidR="005177DD">
        <w:t xml:space="preserve">. </w:t>
      </w:r>
      <w:r>
        <w:t xml:space="preserve">S obzirom da DM pacijenti </w:t>
      </w:r>
      <w:r w:rsidR="005177DD">
        <w:t>imaju tendenciju da imaju visok</w:t>
      </w:r>
      <w:r w:rsidR="00204BD8">
        <w:t xml:space="preserve"> BP u toku noći, dodavanje </w:t>
      </w:r>
      <w:r>
        <w:t>antihipertenzivnih lijekova prije</w:t>
      </w:r>
      <w:r w:rsidR="00204BD8">
        <w:t xml:space="preserve"> spavanja treba uzeti u obzir </w:t>
      </w:r>
      <w:r>
        <w:t xml:space="preserve">u idealnom slučaju, nakon </w:t>
      </w:r>
      <w:r w:rsidR="00204BD8">
        <w:t xml:space="preserve">24-satne ambulantne </w:t>
      </w:r>
      <w:r w:rsidR="00204BD8" w:rsidRPr="00204BD8">
        <w:t>evaluacije</w:t>
      </w:r>
      <w:r w:rsidR="00204BD8">
        <w:t xml:space="preserve"> krvnog pritiska.</w:t>
      </w:r>
    </w:p>
    <w:tbl>
      <w:tblPr>
        <w:tblStyle w:val="TableGrid"/>
        <w:tblW w:w="0" w:type="auto"/>
        <w:tblLook w:val="04A0" w:firstRow="1" w:lastRow="0" w:firstColumn="1" w:lastColumn="0" w:noHBand="0" w:noVBand="1"/>
      </w:tblPr>
      <w:tblGrid>
        <w:gridCol w:w="2322"/>
        <w:gridCol w:w="2322"/>
        <w:gridCol w:w="2322"/>
        <w:gridCol w:w="2322"/>
      </w:tblGrid>
      <w:tr w:rsidR="00E90D63" w:rsidTr="00E90D63">
        <w:tc>
          <w:tcPr>
            <w:tcW w:w="2322" w:type="dxa"/>
          </w:tcPr>
          <w:p w:rsidR="00E90D63" w:rsidRDefault="00E90D63" w:rsidP="009E2626">
            <w:r>
              <w:t>Preporuke</w:t>
            </w:r>
          </w:p>
        </w:tc>
        <w:tc>
          <w:tcPr>
            <w:tcW w:w="2322" w:type="dxa"/>
          </w:tcPr>
          <w:p w:rsidR="00E90D63" w:rsidRDefault="00E90D63" w:rsidP="009E2626">
            <w:r>
              <w:t>Klasa</w:t>
            </w:r>
          </w:p>
        </w:tc>
        <w:tc>
          <w:tcPr>
            <w:tcW w:w="2322" w:type="dxa"/>
          </w:tcPr>
          <w:p w:rsidR="00E90D63" w:rsidRDefault="00E90D63" w:rsidP="009E2626">
            <w:r>
              <w:t>Nivo</w:t>
            </w:r>
          </w:p>
        </w:tc>
        <w:tc>
          <w:tcPr>
            <w:tcW w:w="2322" w:type="dxa"/>
          </w:tcPr>
          <w:p w:rsidR="00E90D63" w:rsidRDefault="00E90D63" w:rsidP="009E2626">
            <w:r>
              <w:t>Ref.</w:t>
            </w:r>
          </w:p>
        </w:tc>
      </w:tr>
      <w:tr w:rsidR="00E90D63" w:rsidTr="00E90D63">
        <w:tc>
          <w:tcPr>
            <w:tcW w:w="2322" w:type="dxa"/>
          </w:tcPr>
          <w:p w:rsidR="00E90D63" w:rsidRDefault="00E90D63" w:rsidP="009E2626">
            <w:r>
              <w:t>Kontrola BP je proporučena u pacijenata sa DM i hipertenzijom kako bi se snizili rizici kardiovaskularnih dešavanja</w:t>
            </w:r>
          </w:p>
        </w:tc>
        <w:tc>
          <w:tcPr>
            <w:tcW w:w="2322" w:type="dxa"/>
          </w:tcPr>
          <w:p w:rsidR="00E90D63" w:rsidRDefault="00E90D63" w:rsidP="009E2626">
            <w:r>
              <w:t>I</w:t>
            </w:r>
          </w:p>
        </w:tc>
        <w:tc>
          <w:tcPr>
            <w:tcW w:w="2322" w:type="dxa"/>
          </w:tcPr>
          <w:p w:rsidR="00E90D63" w:rsidRDefault="00E90D63" w:rsidP="009E2626">
            <w:r>
              <w:t>A</w:t>
            </w:r>
          </w:p>
        </w:tc>
        <w:tc>
          <w:tcPr>
            <w:tcW w:w="2322" w:type="dxa"/>
          </w:tcPr>
          <w:p w:rsidR="00E90D63" w:rsidRDefault="00E90D63" w:rsidP="009E2626">
            <w:r>
              <w:t>105-107,109,110,137</w:t>
            </w:r>
          </w:p>
        </w:tc>
      </w:tr>
      <w:tr w:rsidR="00E90D63" w:rsidTr="00E90D63">
        <w:tc>
          <w:tcPr>
            <w:tcW w:w="2322" w:type="dxa"/>
          </w:tcPr>
          <w:p w:rsidR="00E90D63" w:rsidRDefault="00E90D63" w:rsidP="009E2626">
            <w:r>
              <w:t>Preporučeno je da pacijenti sa hipertenzijom i DM budu tretirani individualno, ciljajući BP &lt;140/85 mmHg</w:t>
            </w:r>
          </w:p>
        </w:tc>
        <w:tc>
          <w:tcPr>
            <w:tcW w:w="2322" w:type="dxa"/>
          </w:tcPr>
          <w:p w:rsidR="00E90D63" w:rsidRDefault="00E90D63" w:rsidP="009E2626">
            <w:r>
              <w:t>I</w:t>
            </w:r>
          </w:p>
        </w:tc>
        <w:tc>
          <w:tcPr>
            <w:tcW w:w="2322" w:type="dxa"/>
          </w:tcPr>
          <w:p w:rsidR="00E90D63" w:rsidRDefault="00E90D63" w:rsidP="009E2626">
            <w:r>
              <w:t>A</w:t>
            </w:r>
          </w:p>
        </w:tc>
        <w:tc>
          <w:tcPr>
            <w:tcW w:w="2322" w:type="dxa"/>
          </w:tcPr>
          <w:p w:rsidR="00E90D63" w:rsidRDefault="00E90D63" w:rsidP="009E2626">
            <w:r>
              <w:t>107-109, 137</w:t>
            </w:r>
          </w:p>
        </w:tc>
      </w:tr>
      <w:tr w:rsidR="00E90D63" w:rsidTr="00E90D63">
        <w:tc>
          <w:tcPr>
            <w:tcW w:w="2322" w:type="dxa"/>
          </w:tcPr>
          <w:p w:rsidR="00E90D63" w:rsidRDefault="00E90D63" w:rsidP="009E2626">
            <w:r>
              <w:t>Preporučeno je kombinovanje antihipertenzivnih lijekova</w:t>
            </w:r>
          </w:p>
        </w:tc>
        <w:tc>
          <w:tcPr>
            <w:tcW w:w="2322" w:type="dxa"/>
          </w:tcPr>
          <w:p w:rsidR="00E90D63" w:rsidRDefault="00E90D63" w:rsidP="009E2626">
            <w:r>
              <w:t>I</w:t>
            </w:r>
          </w:p>
        </w:tc>
        <w:tc>
          <w:tcPr>
            <w:tcW w:w="2322" w:type="dxa"/>
          </w:tcPr>
          <w:p w:rsidR="00E90D63" w:rsidRDefault="00E90D63" w:rsidP="009E2626">
            <w:r>
              <w:t>A</w:t>
            </w:r>
          </w:p>
        </w:tc>
        <w:tc>
          <w:tcPr>
            <w:tcW w:w="2322" w:type="dxa"/>
          </w:tcPr>
          <w:p w:rsidR="00E90D63" w:rsidRDefault="00E90D63" w:rsidP="009E2626">
            <w:r>
              <w:t>108-110,119-121,137</w:t>
            </w:r>
          </w:p>
        </w:tc>
      </w:tr>
      <w:tr w:rsidR="00E90D63" w:rsidTr="00E90D63">
        <w:tc>
          <w:tcPr>
            <w:tcW w:w="2322" w:type="dxa"/>
          </w:tcPr>
          <w:p w:rsidR="00E90D63" w:rsidRDefault="00E90D63" w:rsidP="009E2626">
            <w:r>
              <w:t>RAAS blokatori (ACE-I ili ARB) su preporučeni u liječenju hipertenzije u DM, posebno u prisustvu proteinurije i mikroalbuminurije</w:t>
            </w:r>
          </w:p>
        </w:tc>
        <w:tc>
          <w:tcPr>
            <w:tcW w:w="2322" w:type="dxa"/>
          </w:tcPr>
          <w:p w:rsidR="00E90D63" w:rsidRDefault="00E90D63" w:rsidP="009E2626">
            <w:r>
              <w:t>I</w:t>
            </w:r>
          </w:p>
        </w:tc>
        <w:tc>
          <w:tcPr>
            <w:tcW w:w="2322" w:type="dxa"/>
          </w:tcPr>
          <w:p w:rsidR="00E90D63" w:rsidRDefault="00E90D63" w:rsidP="009E2626">
            <w:r>
              <w:t>A</w:t>
            </w:r>
          </w:p>
        </w:tc>
        <w:tc>
          <w:tcPr>
            <w:tcW w:w="2322" w:type="dxa"/>
          </w:tcPr>
          <w:p w:rsidR="00E90D63" w:rsidRDefault="00E90D63" w:rsidP="009E2626">
            <w:r>
              <w:t>114,119-121</w:t>
            </w:r>
          </w:p>
        </w:tc>
      </w:tr>
      <w:tr w:rsidR="00E90D63" w:rsidTr="00E90D63">
        <w:tc>
          <w:tcPr>
            <w:tcW w:w="2322" w:type="dxa"/>
          </w:tcPr>
          <w:p w:rsidR="00E90D63" w:rsidRDefault="00E90D63" w:rsidP="009E2626">
            <w:r>
              <w:t>Simultana administracija dva RAAS blokatora se treba izbjegavati kod bolesnika sa DM</w:t>
            </w:r>
          </w:p>
        </w:tc>
        <w:tc>
          <w:tcPr>
            <w:tcW w:w="2322" w:type="dxa"/>
          </w:tcPr>
          <w:p w:rsidR="00E90D63" w:rsidRDefault="00E90D63" w:rsidP="009E2626">
            <w:r>
              <w:t>III</w:t>
            </w:r>
          </w:p>
        </w:tc>
        <w:tc>
          <w:tcPr>
            <w:tcW w:w="2322" w:type="dxa"/>
          </w:tcPr>
          <w:p w:rsidR="00E90D63" w:rsidRDefault="00E90D63" w:rsidP="009E2626">
            <w:r>
              <w:t>B</w:t>
            </w:r>
          </w:p>
        </w:tc>
        <w:tc>
          <w:tcPr>
            <w:tcW w:w="2322" w:type="dxa"/>
          </w:tcPr>
          <w:p w:rsidR="00E90D63" w:rsidRDefault="00E90D63" w:rsidP="009E2626">
            <w:r>
              <w:t>133,134</w:t>
            </w:r>
          </w:p>
        </w:tc>
      </w:tr>
    </w:tbl>
    <w:p w:rsidR="00E90D63" w:rsidRDefault="00E90D63" w:rsidP="009E2626"/>
    <w:p w:rsidR="00E90D63" w:rsidRDefault="00E90D63" w:rsidP="00E90D63">
      <w:r>
        <w:t xml:space="preserve">4.4 Dislipidemija </w:t>
      </w:r>
    </w:p>
    <w:p w:rsidR="00E90D63" w:rsidRDefault="00E90D63" w:rsidP="00E90D63">
      <w:r>
        <w:t>U T1 DMserumu, trigliceridi (TG) su</w:t>
      </w:r>
      <w:r w:rsidR="00C15ACB">
        <w:t xml:space="preserve"> normalni</w:t>
      </w:r>
      <w:r>
        <w:t xml:space="preserve"> i </w:t>
      </w:r>
      <w:r w:rsidR="00C15ACB">
        <w:t>lipoproteini</w:t>
      </w:r>
      <w:r>
        <w:t xml:space="preserve"> </w:t>
      </w:r>
      <w:r w:rsidR="00C15ACB" w:rsidRPr="00C15ACB">
        <w:t>visoke gustoće</w:t>
      </w:r>
      <w:r>
        <w:t xml:space="preserve">(HDL-C) </w:t>
      </w:r>
      <w:r w:rsidR="00C15ACB">
        <w:t xml:space="preserve">je </w:t>
      </w:r>
      <w:r>
        <w:t xml:space="preserve">u gornjem </w:t>
      </w:r>
      <w:r w:rsidR="00C15ACB">
        <w:t>kraju normalnog opsega ili blago povišeni</w:t>
      </w:r>
      <w:r>
        <w:t>. Klaster lipidnih</w:t>
      </w:r>
      <w:r w:rsidR="00C15ACB">
        <w:t xml:space="preserve"> poremećaja prati DM tipa2: umjereno povišenje TG našte i ne-naštei  nizak HDL-C. Ostale značajke su visoki TG-bogati</w:t>
      </w:r>
      <w:r>
        <w:t xml:space="preserve"> lipoprotein</w:t>
      </w:r>
      <w:r w:rsidR="00C15ACB">
        <w:t>i, uključujući hilomiktone</w:t>
      </w:r>
      <w:r>
        <w:t xml:space="preserve"> i </w:t>
      </w:r>
      <w:r w:rsidR="00C15ACB">
        <w:t xml:space="preserve">lipoproteine vrlo niske gustoće (VLDL) ostaci i  čestice lipoproteina niske gustoće (LDL). </w:t>
      </w:r>
      <w:r>
        <w:t>N</w:t>
      </w:r>
      <w:r w:rsidR="00C15ACB">
        <w:t>eravnoteža između importa i eksporta</w:t>
      </w:r>
      <w:r>
        <w:t xml:space="preserve"> lipida</w:t>
      </w:r>
      <w:r w:rsidR="00C15ACB">
        <w:t xml:space="preserve"> u jetri </w:t>
      </w:r>
      <w:r>
        <w:t xml:space="preserve"> dovodi do viška masnoće</w:t>
      </w:r>
      <w:r w:rsidR="00C15ACB">
        <w:t xml:space="preserve"> u jetri i akumulacije (bezalkoholna masna jetrena</w:t>
      </w:r>
      <w:r>
        <w:t xml:space="preserve"> bolest), što dovodi do prev</w:t>
      </w:r>
      <w:r w:rsidR="00C15ACB">
        <w:t xml:space="preserve">elike proizvodnje velikih VLDL </w:t>
      </w:r>
      <w:r>
        <w:t>čestica u DM tip 2 i prip</w:t>
      </w:r>
      <w:r w:rsidR="00C15ACB">
        <w:t xml:space="preserve">adajuće hipertrigliceridemija. Povećan fluks slobodnih masnih kiselina (FFA)dolazi iz i </w:t>
      </w:r>
      <w:r>
        <w:t xml:space="preserve"> sistemski</w:t>
      </w:r>
      <w:r w:rsidR="00C15ACB">
        <w:t xml:space="preserve">h FFA pulova i de novo lipogeneze u okruženj </w:t>
      </w:r>
      <w:r>
        <w:t>ot</w:t>
      </w:r>
      <w:r w:rsidR="00C15ACB">
        <w:t>pornosti na insulin (IR).</w:t>
      </w:r>
      <w:r>
        <w:t xml:space="preserve"> </w:t>
      </w:r>
    </w:p>
    <w:p w:rsidR="00E90D63" w:rsidRDefault="00E90D63" w:rsidP="00E90D63">
      <w:r>
        <w:lastRenderedPageBreak/>
        <w:t>Dislipidemij</w:t>
      </w:r>
      <w:r w:rsidR="00C15ACB">
        <w:t xml:space="preserve">a i makrovaskularna bolest.Asocijacija </w:t>
      </w:r>
      <w:r w:rsidR="00A05F66">
        <w:t xml:space="preserve">postoji između povišenja trigliceridima bogatih čestica, niskog HDL-C, i </w:t>
      </w:r>
      <w:r w:rsidR="00471D98">
        <w:t>CVD</w:t>
      </w:r>
      <w:r w:rsidR="00A05F66">
        <w:t xml:space="preserve"> risk. </w:t>
      </w:r>
      <w:r>
        <w:t>Podaci iz statina s</w:t>
      </w:r>
      <w:r w:rsidR="00A05F66">
        <w:t>tudija ojačali su stav da su niski</w:t>
      </w:r>
      <w:r>
        <w:t xml:space="preserve"> </w:t>
      </w:r>
      <w:r w:rsidR="00A05F66">
        <w:t xml:space="preserve">lipoproteini </w:t>
      </w:r>
      <w:r>
        <w:t xml:space="preserve">visoke gustoće </w:t>
      </w:r>
      <w:r w:rsidR="00A05F66">
        <w:t xml:space="preserve">(HDL)  samostalan rizik za </w:t>
      </w:r>
      <w:r w:rsidR="00471D98">
        <w:t>CVD</w:t>
      </w:r>
      <w:r w:rsidR="00A05F66">
        <w:t xml:space="preserve"> , čak i kada </w:t>
      </w:r>
      <w:r>
        <w:t xml:space="preserve"> LDL-C </w:t>
      </w:r>
      <w:r w:rsidR="00A05F66">
        <w:t>nije visok.</w:t>
      </w:r>
      <w:r>
        <w:t xml:space="preserve"> Podaci </w:t>
      </w:r>
      <w:r w:rsidR="00A05F66">
        <w:t xml:space="preserve">Fenofibrate Intervention and Event Lowering in Diabetes(FIELD) i  ACCORD studija pokazali su da su </w:t>
      </w:r>
      <w:r w:rsidR="00471D98">
        <w:t>CVD</w:t>
      </w:r>
      <w:r w:rsidR="00A05F66">
        <w:t xml:space="preserve">  stope </w:t>
      </w:r>
      <w:r>
        <w:t>bi</w:t>
      </w:r>
      <w:r w:rsidR="00A05F66">
        <w:t xml:space="preserve">le značajno veće u dislipidemiji (LDL-C 2,6 mmol / L  </w:t>
      </w:r>
      <w:r>
        <w:t xml:space="preserve">(100 mg / dl), TG ≥2.3 mmol / L </w:t>
      </w:r>
      <w:r w:rsidR="00A05F66">
        <w:t>i HDL-C ≤0.88 mmol / L).</w:t>
      </w:r>
    </w:p>
    <w:p w:rsidR="00D67EF7" w:rsidRDefault="00D67EF7" w:rsidP="00D67EF7">
      <w:r>
        <w:t xml:space="preserve">U FIELD-u osnovne varijable za predviđanje kardiovaskularnih događaja više od 5 godina su bili: lipidni omjeri (non-HDL-HDL-C i ukupni-HDL-C). Moć  serumskih TG za predviđanje </w:t>
      </w:r>
      <w:r w:rsidR="00471D98">
        <w:t>CVD</w:t>
      </w:r>
      <w:r>
        <w:t xml:space="preserve"> događaja je smanjena podešavanjem za HDL-C. Podaci se poklapaju s rezultatima iz Emerging  Risc factor Collaboration (ERFC) studije, koja je izvijestila da je porast 1SD u HDL-C (0,38 mmol / L ili 15 mg / dl) bila je povezana s smanjenjem od 22% u rizik od koronarne bolesti srca. </w:t>
      </w:r>
    </w:p>
    <w:p w:rsidR="00D67EF7" w:rsidRDefault="00D67EF7" w:rsidP="00D67EF7">
      <w:r>
        <w:t>Dislipidemija i mikrovaskularne bolesti. U FIELD</w:t>
      </w:r>
      <w:r w:rsidR="00253EE5">
        <w:t>-u</w:t>
      </w:r>
      <w:r>
        <w:t>, fenofib</w:t>
      </w:r>
      <w:r w:rsidR="00253EE5">
        <w:t>rat  je smanjio albuminuriju</w:t>
      </w:r>
      <w:r>
        <w:t xml:space="preserve"> i usporio gubitak eGFR </w:t>
      </w:r>
      <w:r w:rsidR="00253EE5">
        <w:t>u više od 5 godina, uprkos početnom, reverzibilnom</w:t>
      </w:r>
      <w:r>
        <w:t xml:space="preserve"> porast</w:t>
      </w:r>
      <w:r w:rsidR="00253EE5">
        <w:t>u</w:t>
      </w:r>
      <w:r>
        <w:t xml:space="preserve"> kreatinina u T2</w:t>
      </w:r>
      <w:r w:rsidR="00253EE5">
        <w:t xml:space="preserve"> DM. Ne čini se da</w:t>
      </w:r>
      <w:r>
        <w:t xml:space="preserve"> sniženje lipida </w:t>
      </w:r>
      <w:r w:rsidR="00253EE5">
        <w:t>direktno utiče na retinopatiju</w:t>
      </w:r>
      <w:r>
        <w:t xml:space="preserve">. </w:t>
      </w:r>
      <w:r w:rsidR="00253EE5">
        <w:t xml:space="preserve">U FIELD-u </w:t>
      </w:r>
      <w:r>
        <w:t>fenofibrat je</w:t>
      </w:r>
      <w:r w:rsidR="00253EE5">
        <w:t>bio povezan</w:t>
      </w:r>
      <w:r>
        <w:t xml:space="preserve"> sa smanjenjem </w:t>
      </w:r>
      <w:r w:rsidR="00253EE5">
        <w:t>broja laserskih</w:t>
      </w:r>
      <w:r>
        <w:t xml:space="preserve"> terapij</w:t>
      </w:r>
      <w:r w:rsidR="00253EE5">
        <w:t xml:space="preserve">a retinopatije, </w:t>
      </w:r>
      <w:r>
        <w:t xml:space="preserve">iako </w:t>
      </w:r>
      <w:r w:rsidR="00253EE5">
        <w:t>se to čini</w:t>
      </w:r>
      <w:r>
        <w:t xml:space="preserve"> kao nezavisno od nivoa lipida. </w:t>
      </w:r>
    </w:p>
    <w:p w:rsidR="00D67EF7" w:rsidRDefault="00253EE5" w:rsidP="00D67EF7">
      <w:r>
        <w:t>ACCORD prijavljuje</w:t>
      </w:r>
      <w:r w:rsidR="00D67EF7">
        <w:t xml:space="preserve"> smanjenje </w:t>
      </w:r>
      <w:r>
        <w:t xml:space="preserve">progresije retinopatije [odds </w:t>
      </w:r>
      <w:r w:rsidR="00D67EF7">
        <w:t>rat</w:t>
      </w:r>
      <w:r>
        <w:t>io (OR) 0.60; P, 0.0056] korištenjem kombinacije statina</w:t>
      </w:r>
      <w:r w:rsidR="00D67EF7">
        <w:t xml:space="preserve"> i fenofibrat</w:t>
      </w:r>
      <w:r>
        <w:t>a</w:t>
      </w:r>
      <w:r w:rsidR="00D67EF7">
        <w:t>.</w:t>
      </w:r>
    </w:p>
    <w:p w:rsidR="00F461B2" w:rsidRDefault="00F461B2" w:rsidP="00F461B2">
      <w:r>
        <w:t>4.4.1 menadžment dislipidemije</w:t>
      </w:r>
    </w:p>
    <w:p w:rsidR="00F461B2" w:rsidRDefault="00F461B2" w:rsidP="00F461B2">
      <w:r>
        <w:t xml:space="preserve">Tip 2 dijabetesa mellitusa: primarna prevencija. U Collaborative Atorvastatin Diabetes Study (CARDS) studiji,  2838 bolesnika je randomizovano na atorvastatin ili placeboc i studija je prekinuta prerano, zbog smanjenja 37% (P ¼ 0001) u primarnom ishod  (prva akutni koronarne incident). U Heart protection Study (HPS) studiji simvastatin (40 mg / dan) je </w:t>
      </w:r>
      <w:r w:rsidR="007F549B">
        <w:t>smanjio primarni</w:t>
      </w:r>
      <w:r w:rsidR="00615B57">
        <w:t xml:space="preserve"> ishod od 33% (P ¼ 0.0003),</w:t>
      </w:r>
      <w:r>
        <w:t xml:space="preserve"> </w:t>
      </w:r>
      <w:r w:rsidR="007F549B">
        <w:t>a u Anglo-Scandinavian Cardiac Outcomes Trial</w:t>
      </w:r>
      <w:r>
        <w:t xml:space="preserve"> (Ascot) DM podgrupe, atorvastatin </w:t>
      </w:r>
      <w:r w:rsidR="007F549B">
        <w:t xml:space="preserve">je smanjio velike </w:t>
      </w:r>
      <w:r w:rsidR="00471D98">
        <w:t>CVD</w:t>
      </w:r>
      <w:r w:rsidR="007F549B">
        <w:t xml:space="preserve"> događaje i postupake</w:t>
      </w:r>
      <w:r>
        <w:t xml:space="preserve"> za 23% (P ¼ 0,04) 0,151 </w:t>
      </w:r>
    </w:p>
    <w:p w:rsidR="00F461B2" w:rsidRDefault="00F461B2" w:rsidP="00F461B2">
      <w:r>
        <w:t>Tip 2 dijabetesa mellitus</w:t>
      </w:r>
      <w:r w:rsidR="00615B57">
        <w:t xml:space="preserve">a: sekundarna prevencija. Koristi </w:t>
      </w:r>
      <w:r>
        <w:t xml:space="preserve">statina </w:t>
      </w:r>
      <w:r w:rsidR="00615B57">
        <w:t>u terapiji u DM se vidi u svim podgrupama analize glavnih RCT.</w:t>
      </w:r>
      <w:r>
        <w:t xml:space="preserve"> Meta-analiza 14 RCT</w:t>
      </w:r>
      <w:r w:rsidR="00615B57">
        <w:t xml:space="preserve">, uključujući i 18 686 osoba s DM, prijavljuje smanjenje za 9% u svim uzrocima smrtnosti i smanjenje 21% </w:t>
      </w:r>
      <w:r>
        <w:t>u učestalosti velikih va</w:t>
      </w:r>
      <w:r w:rsidR="00615B57">
        <w:t>skularnih ishoda po mmol / L  LDL-C smanjenja</w:t>
      </w:r>
      <w:r>
        <w:t xml:space="preserve"> (P, 0,0001)</w:t>
      </w:r>
      <w:r w:rsidR="00615B57">
        <w:t>, slično kao ne-DM. To je bilo povezano</w:t>
      </w:r>
      <w:r>
        <w:t xml:space="preserve"> s apsolutnim sm</w:t>
      </w:r>
      <w:r w:rsidR="00615B57">
        <w:t xml:space="preserve">anjenjem LDL-C, a viđena je na LDL-C nivou 2,6 mmol / L. Podaci iz 10 RCTs govore da je intenzivna  doza statina smanjila CAD za 10% (P, 0,0001), ali nije smanjila mortalitet. Intenzivno smanjenje </w:t>
      </w:r>
      <w:r>
        <w:t>LDL-C je imao blagotvoran uči</w:t>
      </w:r>
      <w:r w:rsidR="00615B57">
        <w:t>nak na progresiju ateroma u DM i ne-DM subjekata.</w:t>
      </w:r>
    </w:p>
    <w:p w:rsidR="00F461B2" w:rsidRDefault="00615B57" w:rsidP="004C242A">
      <w:r>
        <w:t>Intenziviranje LDL-C smanjenja</w:t>
      </w:r>
      <w:r w:rsidR="00F461B2">
        <w:t xml:space="preserve"> može</w:t>
      </w:r>
      <w:r>
        <w:t xml:space="preserve"> se postići dodavanjem ezetimiba </w:t>
      </w:r>
      <w:r w:rsidR="00F461B2">
        <w:t xml:space="preserve"> statini</w:t>
      </w:r>
      <w:r>
        <w:t>ma. Iako ne postoje podaci  CVD ishodima</w:t>
      </w:r>
      <w:r w:rsidR="00F461B2">
        <w:t xml:space="preserve">, </w:t>
      </w:r>
      <w:r>
        <w:t>studija je u toku (IMPROVE-IT [IMProved Reduction of Outcomes: Vytorin Efficacy International Trial]: ClinicalTrials.gov: NCT00202878).</w:t>
      </w:r>
      <w:r w:rsidR="00F461B2">
        <w:t xml:space="preserve"> </w:t>
      </w:r>
      <w:r>
        <w:t xml:space="preserve">Analiza objedinjenih </w:t>
      </w:r>
      <w:r w:rsidR="00F461B2">
        <w:t xml:space="preserve">podataka </w:t>
      </w:r>
      <w:r w:rsidR="00F63E08">
        <w:t xml:space="preserve">o sigurnosti </w:t>
      </w:r>
      <w:r w:rsidR="00F461B2">
        <w:t>poređenje</w:t>
      </w:r>
      <w:r w:rsidR="00F63E08">
        <w:t>m</w:t>
      </w:r>
      <w:r w:rsidR="00F461B2">
        <w:t xml:space="preserve"> učinkovito</w:t>
      </w:r>
      <w:r w:rsidR="00F63E08">
        <w:t>sti i sigurnosnog</w:t>
      </w:r>
      <w:r w:rsidR="00F461B2">
        <w:t xml:space="preserve"> profil</w:t>
      </w:r>
      <w:r w:rsidR="00F63E08">
        <w:t>a</w:t>
      </w:r>
      <w:r w:rsidR="00F461B2">
        <w:t xml:space="preserve"> kombinacij</w:t>
      </w:r>
      <w:r w:rsidR="00F63E08">
        <w:t>e terapije ezetimibe / statini vs. statinska</w:t>
      </w:r>
      <w:r w:rsidR="00F461B2">
        <w:t xml:space="preserve"> monoterapija u DM i ne</w:t>
      </w:r>
      <w:r w:rsidR="00F63E08">
        <w:t xml:space="preserve">-DM subjekata (n ¼ 21 794) izviještava da </w:t>
      </w:r>
      <w:r w:rsidR="00F461B2">
        <w:t>kombinacija pruž</w:t>
      </w:r>
      <w:r w:rsidR="00F63E08">
        <w:t>a veće efekte na svim važnijim lipidnim mjerenjima</w:t>
      </w:r>
      <w:r w:rsidR="00F461B2">
        <w:t xml:space="preserve">. Studija </w:t>
      </w:r>
      <w:r w:rsidR="004C242A" w:rsidRPr="004C242A">
        <w:t>Study of He</w:t>
      </w:r>
      <w:r w:rsidR="004C242A">
        <w:t>art and Renal Protection (SHARP) je prijavila smanjenje većih aterosklerotskih</w:t>
      </w:r>
      <w:r w:rsidR="00F461B2">
        <w:t xml:space="preserve"> </w:t>
      </w:r>
      <w:r w:rsidR="004C242A">
        <w:t xml:space="preserve">događaja u 17% </w:t>
      </w:r>
      <w:r w:rsidR="00F461B2">
        <w:t>CKD</w:t>
      </w:r>
      <w:r w:rsidR="004C242A">
        <w:t xml:space="preserve"> pri  tretiranju sa</w:t>
      </w:r>
      <w:r w:rsidR="00F461B2">
        <w:t xml:space="preserve"> simvastatin</w:t>
      </w:r>
      <w:r w:rsidR="004C242A">
        <w:t xml:space="preserve">om plus ezetimibe u poređenju </w:t>
      </w:r>
      <w:r w:rsidR="00F461B2">
        <w:t>s placebo</w:t>
      </w:r>
      <w:r w:rsidR="004C242A">
        <w:t xml:space="preserve">m. </w:t>
      </w:r>
      <w:r w:rsidR="00F461B2">
        <w:t xml:space="preserve"> Treba naglasiti da, iako je relativno smanjenje </w:t>
      </w:r>
      <w:r w:rsidR="004C242A">
        <w:t xml:space="preserve"> događaja bilo slično kod subjekata sa i bez DM, apsolutni benefit je veći kod DM pacijenata shodno većem riziku.</w:t>
      </w:r>
    </w:p>
    <w:p w:rsidR="00E63489" w:rsidRDefault="00E63489" w:rsidP="00E63489"/>
    <w:p w:rsidR="00E63489" w:rsidRDefault="00E63489" w:rsidP="00E63489">
      <w:r>
        <w:lastRenderedPageBreak/>
        <w:t xml:space="preserve">Tip 1 šećerne bolesti. U </w:t>
      </w:r>
      <w:r w:rsidR="00471D98">
        <w:t>Cholesterol Treatment Trialists (CTT)  analizi</w:t>
      </w:r>
      <w:r>
        <w:t xml:space="preserve"> 1466 T1</w:t>
      </w:r>
      <w:r w:rsidR="00471D98">
        <w:t xml:space="preserve"> DM bolesnika, većina sa prethodnim</w:t>
      </w:r>
      <w:r>
        <w:t xml:space="preserve"> </w:t>
      </w:r>
      <w:r w:rsidR="00471D98">
        <w:t xml:space="preserve">CVD,  </w:t>
      </w:r>
      <w:r>
        <w:t>prijavio sličan smanjenje r</w:t>
      </w:r>
      <w:r w:rsidR="00471D98">
        <w:t>izika od kardiovaskularnih događaja (RR 0.79) slično kao i u tipu2.</w:t>
      </w:r>
      <w:r>
        <w:t xml:space="preserve"> </w:t>
      </w:r>
      <w:r w:rsidR="00471D98">
        <w:t xml:space="preserve">Iako ne postoje podaci studija koristi studija </w:t>
      </w:r>
      <w:r>
        <w:t>kod mlađih T1</w:t>
      </w:r>
      <w:r w:rsidR="00471D98">
        <w:t xml:space="preserve"> DM, statine treba razmotriti u onih pacijenata sa visokim </w:t>
      </w:r>
      <w:r>
        <w:t>rizik</w:t>
      </w:r>
      <w:r w:rsidR="00471D98">
        <w:t>om</w:t>
      </w:r>
      <w:r>
        <w:t xml:space="preserve"> od kardiovaskularnih obolj</w:t>
      </w:r>
      <w:r w:rsidR="00471D98">
        <w:t xml:space="preserve">enja, bez obzira na LDL-C nivoe. </w:t>
      </w:r>
      <w:r>
        <w:t>Sigurnost terapije statinima. RCTs pokazuju da</w:t>
      </w:r>
      <w:r w:rsidR="00471D98">
        <w:t xml:space="preserve"> su statini sigurni i da se dobro podnose. Nuspojave-osim bolova u mišićima</w:t>
      </w:r>
      <w:r>
        <w:t>- su rijet</w:t>
      </w:r>
      <w:r w:rsidR="00471D98">
        <w:t>ke. U većini slučajeva miopatija</w:t>
      </w:r>
      <w:r>
        <w:t xml:space="preserve"> ili rabdomiolize </w:t>
      </w:r>
      <w:r w:rsidR="00471D98">
        <w:t xml:space="preserve">postoje </w:t>
      </w:r>
      <w:r>
        <w:t xml:space="preserve">interakcije s </w:t>
      </w:r>
      <w:r w:rsidR="00471D98">
        <w:t xml:space="preserve">drugim lijekovima  ili korištenje </w:t>
      </w:r>
      <w:r>
        <w:t xml:space="preserve">veće od standardnih doza </w:t>
      </w:r>
      <w:r w:rsidR="00471D98">
        <w:t>statina. Kombinaciju</w:t>
      </w:r>
      <w:r>
        <w:t xml:space="preserve"> gemfibrozil</w:t>
      </w:r>
      <w:r w:rsidR="00471D98">
        <w:t>a</w:t>
      </w:r>
      <w:r>
        <w:t xml:space="preserve"> i statina treba </w:t>
      </w:r>
      <w:r w:rsidR="00471D98">
        <w:t>izbjegavati</w:t>
      </w:r>
      <w:r>
        <w:t>, zbog farmakok</w:t>
      </w:r>
      <w:r w:rsidR="00471D98">
        <w:t>inetičke interakcije, ali nema sigurnosnih problema</w:t>
      </w:r>
      <w:r>
        <w:t xml:space="preserve"> s fenofibrat</w:t>
      </w:r>
      <w:r w:rsidR="00471D98">
        <w:t xml:space="preserve">om i statinima. Meta-analize koje je  uključila 91 140 učesnika izvijestila da je terapija statinima bila povezana </w:t>
      </w:r>
      <w:r>
        <w:t>s rizikom od p</w:t>
      </w:r>
      <w:r w:rsidR="00334FED">
        <w:t xml:space="preserve">ojave novih-DM tip 2 (OR 1.09)-  </w:t>
      </w:r>
      <w:r>
        <w:t>jedan sl</w:t>
      </w:r>
      <w:r w:rsidR="00334FED">
        <w:t>učaj DM tip 2 u 255 liječenih na 4 godine. U istom periodu, statini su spriječili</w:t>
      </w:r>
      <w:r>
        <w:t xml:space="preserve"> 5.4 </w:t>
      </w:r>
      <w:r w:rsidR="00471D98">
        <w:t>CVD</w:t>
      </w:r>
      <w:r w:rsidR="00334FED">
        <w:t xml:space="preserve"> događaja za svaki mmol </w:t>
      </w:r>
      <w:r>
        <w:t xml:space="preserve"> / L</w:t>
      </w:r>
      <w:r w:rsidR="00334FED">
        <w:t xml:space="preserve"> smanjenja </w:t>
      </w:r>
      <w:r>
        <w:t xml:space="preserve"> u LDL-C. M</w:t>
      </w:r>
      <w:r w:rsidR="00334FED">
        <w:t xml:space="preserve">eta-analiza pet statinskih studija izvijestila je  da se rizik od nastanka novih DM povećao s intenzivnom terapijom </w:t>
      </w:r>
      <w:r>
        <w:t xml:space="preserve">statinima (atorvastatin ili simvastatin </w:t>
      </w:r>
      <w:r w:rsidR="00334FED">
        <w:t>80 mg dnevno) u poređenju s umjereno</w:t>
      </w:r>
      <w:r>
        <w:t>m (simvastati</w:t>
      </w:r>
      <w:r w:rsidR="00334FED">
        <w:t>n 20 mg ili 40 mg pravastatin). U intenzivnoj</w:t>
      </w:r>
      <w:r>
        <w:t xml:space="preserve"> grupi, dva slučaja novog p</w:t>
      </w:r>
      <w:r w:rsidR="00334FED">
        <w:t xml:space="preserve">očetka DM na 1000 pacijenata </w:t>
      </w:r>
      <w:r>
        <w:t>godina</w:t>
      </w:r>
      <w:r w:rsidR="00334FED">
        <w:t xml:space="preserve"> je  viđeno</w:t>
      </w:r>
      <w:r>
        <w:t xml:space="preserve">, dok </w:t>
      </w:r>
      <w:r w:rsidR="00334FED">
        <w:t xml:space="preserve">su </w:t>
      </w:r>
      <w:r w:rsidR="00471D98">
        <w:t>CVD</w:t>
      </w:r>
      <w:r w:rsidR="00334FED">
        <w:t xml:space="preserve"> događaji  smanjeni za </w:t>
      </w:r>
      <w:r>
        <w:t>6.5 slučajeva. The Food and Drug</w:t>
      </w:r>
      <w:r w:rsidR="00334FED">
        <w:t xml:space="preserve"> Administration (FDA) odobrila  je promjene etikete za statine </w:t>
      </w:r>
      <w:r>
        <w:t>(www.fda.g</w:t>
      </w:r>
      <w:r w:rsidR="00334FED">
        <w:t xml:space="preserve">ov/downloads/Drugs/DrugSafety/ </w:t>
      </w:r>
      <w:r>
        <w:t>UCM29</w:t>
      </w:r>
      <w:r w:rsidR="00334FED">
        <w:t>3474.pdf), ali je naglasio da</w:t>
      </w:r>
      <w:r>
        <w:t xml:space="preserve"> mali ri</w:t>
      </w:r>
      <w:r w:rsidR="00334FED">
        <w:t>zik od razvoja DM je nadmašen</w:t>
      </w:r>
      <w:r>
        <w:t xml:space="preserve"> smanjenje</w:t>
      </w:r>
      <w:r w:rsidR="00334FED">
        <w:t xml:space="preserve">m vaskularne događaja. </w:t>
      </w:r>
      <w:r w:rsidR="00D25E5F">
        <w:t>Meta-analiza 27 randomizovanih</w:t>
      </w:r>
      <w:r>
        <w:t xml:space="preserve"> stu</w:t>
      </w:r>
      <w:r w:rsidR="00AF3575">
        <w:t xml:space="preserve">dija pokazala da, u pojedinaca </w:t>
      </w:r>
      <w:r>
        <w:t>s pet</w:t>
      </w:r>
      <w:r w:rsidR="00AF3575">
        <w:t xml:space="preserve">ogodišnjim </w:t>
      </w:r>
      <w:r>
        <w:t xml:space="preserve"> rizik</w:t>
      </w:r>
      <w:r w:rsidR="00AF3575">
        <w:t>om</w:t>
      </w:r>
      <w:r>
        <w:t xml:space="preserve"> od velikih vaskularnih događaja manji</w:t>
      </w:r>
      <w:r w:rsidR="00AF3575">
        <w:t>m od 10%, svaki mmol / L u smanjenja LDL-C dovodi do</w:t>
      </w:r>
      <w:r>
        <w:t xml:space="preserve"> apsolutno</w:t>
      </w:r>
      <w:r w:rsidR="00AF3575">
        <w:t xml:space="preserve">g smanjenja </w:t>
      </w:r>
      <w:r>
        <w:t xml:space="preserve">događaja od 11 na 1000 </w:t>
      </w:r>
      <w:r w:rsidR="00AF3575">
        <w:t xml:space="preserve">u </w:t>
      </w:r>
      <w:r>
        <w:t xml:space="preserve">više od pet </w:t>
      </w:r>
      <w:r w:rsidR="00AF3575">
        <w:t>godina, bez povećanja raka ili smrtnosti od drugih uzroka. Ova prednost uveliko</w:t>
      </w:r>
      <w:r>
        <w:t xml:space="preserve"> </w:t>
      </w:r>
      <w:r w:rsidR="00AF3575">
        <w:t>premašuje bilo kakve rizike od statinske terapije.</w:t>
      </w:r>
    </w:p>
    <w:p w:rsidR="00F461B2" w:rsidRDefault="00E63489" w:rsidP="00155BD6">
      <w:r>
        <w:t>Rezidualni rizik subjekata na</w:t>
      </w:r>
      <w:r w:rsidR="00AF3575">
        <w:t xml:space="preserve"> terapiji spuštanja</w:t>
      </w:r>
      <w:r>
        <w:t xml:space="preserve"> lipopr</w:t>
      </w:r>
      <w:r w:rsidR="00AF3575">
        <w:t xml:space="preserve">oteina niske gustoće. </w:t>
      </w:r>
      <w:r w:rsidR="007D45CD">
        <w:t xml:space="preserve"> Pacijenti sa DM tip 2</w:t>
      </w:r>
      <w:r w:rsidR="004136AC">
        <w:t xml:space="preserve"> i dalje imaju visok rizik, kada je u pitanju LDL-C, a ciljanje visokih vrijednosti TG (&gt;2.2mmol/L) i/ili nizak HDL-C (&lt;1mmol/L) može obezbjediti dalje benefite. U FIELD-u, fenofibrat nije redukovao primarne ishode (CAD- vezani smrtni ishodi i nefatalni IM) ali su se ukupni CVD događaji redukovali sa 14 na 12.5% (HR 0.9; P=0.035). U ACCORD-u pacijentima je apliciran fenofibrat plus simvastatin (20-40mg dnevno) ili placebo bez dodatnih efekata po primarne ishode</w:t>
      </w:r>
      <w:r w:rsidR="00155BD6">
        <w:t>. U prespecificiranoj podgrupi sa TG .2.3 mmol/L(204 mg/dL) i HDL-C ,0.9 mmol/L (,34 mg/dL), kardiovaskularni rizik je smanjen za 31% sa terapijom fenofibrat plus simvastatin. U podgrupi dislipidemičnih pacijenata (TG .2.3 mmol/L i HDL-C ,0.9 mmol/L) u FIELD studiji je otkrivena redukcija od 27% u CVD riziku. I u FIELD i u ACCORD studiji fenofibrat je bio povezan sa izraženom redukcijom (22%) TG dok je podizanje HDL-C bilo manje od očekivanog (+2% i +2.4%respektivno). Meta analize su potvrdile kliničke benefite fibrata na velika CVD dešavanja, ali ne i na kardiovaskularni mortalitet.</w:t>
      </w:r>
    </w:p>
    <w:p w:rsidR="00155BD6" w:rsidRDefault="00155BD6" w:rsidP="00155BD6">
      <w:r>
        <w:t xml:space="preserve">Strategije </w:t>
      </w:r>
      <w:r w:rsidR="00A52DE4">
        <w:t>za podizanje HDL-C. HDL-C je inverzno povezan sa CVD u epidemiskim studijama brojnih istraživanja. Niski nivoi HDL-C su povezani sa povećanim  nivoima TG i obično su viđeni kod pacijenata sa metaboličkim sindromom i/ili DM. Ciljanje niskih vrijednosti HDL-C radi prevencije CVD ipak nije podržano dokazima. Dvije nedavne RCT koje su koristile CETP (holesteril ester transfer protein)inhibitore i dalcetrapib, nisu uspjele redukovati CVD dešavanja uprkos 30-40%povećanju HDL-C. Fenofibrat ima trivijalnu efikasnost u podizanju HDL-C i dok niacin podiže HDL-C (15-30%) skorašnje studije nisu pokazale kardiovaskularni benefit niacina, ali je bio povezan sa povećanim rizikom od neželjenih efekata</w:t>
      </w:r>
      <w:r w:rsidR="007C134E">
        <w:t xml:space="preserve"> što je dovelo do povlačenja marketinške licence.</w:t>
      </w:r>
    </w:p>
    <w:p w:rsidR="0073704D" w:rsidRDefault="0073704D" w:rsidP="00155BD6">
      <w:r>
        <w:t>Preporuke za menadžment dislipidemije u dijabetesu</w:t>
      </w:r>
    </w:p>
    <w:tbl>
      <w:tblPr>
        <w:tblStyle w:val="TableGrid"/>
        <w:tblW w:w="0" w:type="auto"/>
        <w:tblLook w:val="04A0" w:firstRow="1" w:lastRow="0" w:firstColumn="1" w:lastColumn="0" w:noHBand="0" w:noVBand="1"/>
      </w:tblPr>
      <w:tblGrid>
        <w:gridCol w:w="3652"/>
        <w:gridCol w:w="1843"/>
        <w:gridCol w:w="1843"/>
        <w:gridCol w:w="1950"/>
      </w:tblGrid>
      <w:tr w:rsidR="007C134E" w:rsidTr="00911C16">
        <w:tc>
          <w:tcPr>
            <w:tcW w:w="3652" w:type="dxa"/>
          </w:tcPr>
          <w:p w:rsidR="007C134E" w:rsidRDefault="00911C16" w:rsidP="00155BD6">
            <w:r>
              <w:lastRenderedPageBreak/>
              <w:t>Preporuke</w:t>
            </w:r>
          </w:p>
        </w:tc>
        <w:tc>
          <w:tcPr>
            <w:tcW w:w="1843" w:type="dxa"/>
          </w:tcPr>
          <w:p w:rsidR="007C134E" w:rsidRDefault="00911C16" w:rsidP="00155BD6">
            <w:r>
              <w:t>Klasa</w:t>
            </w:r>
          </w:p>
        </w:tc>
        <w:tc>
          <w:tcPr>
            <w:tcW w:w="1843" w:type="dxa"/>
          </w:tcPr>
          <w:p w:rsidR="007C134E" w:rsidRDefault="00911C16" w:rsidP="00155BD6">
            <w:r>
              <w:t>Nivo</w:t>
            </w:r>
          </w:p>
        </w:tc>
        <w:tc>
          <w:tcPr>
            <w:tcW w:w="1950" w:type="dxa"/>
          </w:tcPr>
          <w:p w:rsidR="007C134E" w:rsidRDefault="00911C16" w:rsidP="00155BD6">
            <w:r>
              <w:t>Ref.</w:t>
            </w:r>
          </w:p>
        </w:tc>
      </w:tr>
      <w:tr w:rsidR="007C134E" w:rsidTr="00911C16">
        <w:tc>
          <w:tcPr>
            <w:tcW w:w="3652" w:type="dxa"/>
          </w:tcPr>
          <w:p w:rsidR="007C134E" w:rsidRDefault="00911C16" w:rsidP="00155BD6">
            <w:r>
              <w:t>Terapija statinima je preporučena u pacijenata sa DM tip 1 i 2 sa veoma visokim rizikom(u kombinaciji sa dokumentovanom CVD, teškom CVD ili sa jednim ili više CV riziko faktora i/ili oštećenja ciljnih organa) sa LDL ciljem &lt;1.8mmol/L(&lt;70mg/dL) ili bar sniženje od &gt;50% ako se ovaj cilj ne može postići</w:t>
            </w:r>
          </w:p>
        </w:tc>
        <w:tc>
          <w:tcPr>
            <w:tcW w:w="1843" w:type="dxa"/>
          </w:tcPr>
          <w:p w:rsidR="007C134E" w:rsidRDefault="00911C16" w:rsidP="00155BD6">
            <w:r>
              <w:t>I</w:t>
            </w:r>
          </w:p>
        </w:tc>
        <w:tc>
          <w:tcPr>
            <w:tcW w:w="1843" w:type="dxa"/>
          </w:tcPr>
          <w:p w:rsidR="007C134E" w:rsidRDefault="0073704D" w:rsidP="00155BD6">
            <w:r>
              <w:t>A</w:t>
            </w:r>
          </w:p>
        </w:tc>
        <w:tc>
          <w:tcPr>
            <w:tcW w:w="1950" w:type="dxa"/>
          </w:tcPr>
          <w:p w:rsidR="007C134E" w:rsidRDefault="0073704D" w:rsidP="00155BD6">
            <w:r>
              <w:t>143,153,157</w:t>
            </w:r>
          </w:p>
        </w:tc>
      </w:tr>
      <w:tr w:rsidR="007C134E" w:rsidTr="00911C16">
        <w:tc>
          <w:tcPr>
            <w:tcW w:w="3652" w:type="dxa"/>
          </w:tcPr>
          <w:p w:rsidR="007C134E" w:rsidRDefault="00911C16" w:rsidP="00155BD6">
            <w:r w:rsidRPr="00911C16">
              <w:t>Statinska terapija je preporučena u pacijenata sa DM tip 2 sa visokim rizikom(bez drugih CV rizika i bez oštećenja ciljnih organa) sa LDL-C ciljem &gt;2.5mmol/L (&lt;100mg/dL)</w:t>
            </w:r>
          </w:p>
        </w:tc>
        <w:tc>
          <w:tcPr>
            <w:tcW w:w="1843" w:type="dxa"/>
          </w:tcPr>
          <w:p w:rsidR="007C134E" w:rsidRDefault="00911C16" w:rsidP="00155BD6">
            <w:r>
              <w:t>I</w:t>
            </w:r>
          </w:p>
        </w:tc>
        <w:tc>
          <w:tcPr>
            <w:tcW w:w="1843" w:type="dxa"/>
          </w:tcPr>
          <w:p w:rsidR="007C134E" w:rsidRDefault="0073704D" w:rsidP="00155BD6">
            <w:r>
              <w:t>A</w:t>
            </w:r>
          </w:p>
        </w:tc>
        <w:tc>
          <w:tcPr>
            <w:tcW w:w="1950" w:type="dxa"/>
          </w:tcPr>
          <w:p w:rsidR="007C134E" w:rsidRDefault="0073704D" w:rsidP="00155BD6">
            <w:r>
              <w:t>143,153</w:t>
            </w:r>
          </w:p>
        </w:tc>
      </w:tr>
      <w:tr w:rsidR="007C134E" w:rsidTr="00911C16">
        <w:tc>
          <w:tcPr>
            <w:tcW w:w="3652" w:type="dxa"/>
          </w:tcPr>
          <w:p w:rsidR="007C134E" w:rsidRDefault="00911C16" w:rsidP="00155BD6">
            <w:r>
              <w:t>Statini se mogu uzeti u obzir kod pacijenata sa DM tip 1 sa visokim rizikom CVD dešavanjima nezavisno od bazalnog LDL-C</w:t>
            </w:r>
          </w:p>
        </w:tc>
        <w:tc>
          <w:tcPr>
            <w:tcW w:w="1843" w:type="dxa"/>
          </w:tcPr>
          <w:p w:rsidR="007C134E" w:rsidRDefault="0073704D" w:rsidP="00155BD6">
            <w:r>
              <w:t>IIb</w:t>
            </w:r>
          </w:p>
        </w:tc>
        <w:tc>
          <w:tcPr>
            <w:tcW w:w="1843" w:type="dxa"/>
          </w:tcPr>
          <w:p w:rsidR="007C134E" w:rsidRDefault="0073704D" w:rsidP="00155BD6">
            <w:r>
              <w:t>C</w:t>
            </w:r>
          </w:p>
        </w:tc>
        <w:tc>
          <w:tcPr>
            <w:tcW w:w="1950" w:type="dxa"/>
          </w:tcPr>
          <w:p w:rsidR="007C134E" w:rsidRDefault="007C134E" w:rsidP="00155BD6"/>
        </w:tc>
      </w:tr>
      <w:tr w:rsidR="007C134E" w:rsidTr="00911C16">
        <w:tc>
          <w:tcPr>
            <w:tcW w:w="3652" w:type="dxa"/>
          </w:tcPr>
          <w:p w:rsidR="007C134E" w:rsidRDefault="00911C16" w:rsidP="00155BD6">
            <w:r>
              <w:t>Može se uzeti u</w:t>
            </w:r>
            <w:r w:rsidR="0073704D">
              <w:t xml:space="preserve"> obzir za sekundarni cilj non HDL-C &lt;2.6mmol/L(&lt;100mg/dL) u pacijenata sa DM sa veoma visokim rizikom ili &lt;3.3mmol/L(&lt;130mg/dL) kod pacijenata sa visokim rizikom</w:t>
            </w:r>
          </w:p>
        </w:tc>
        <w:tc>
          <w:tcPr>
            <w:tcW w:w="1843" w:type="dxa"/>
          </w:tcPr>
          <w:p w:rsidR="007C134E" w:rsidRDefault="0073704D" w:rsidP="00155BD6">
            <w:r>
              <w:t>IIb</w:t>
            </w:r>
          </w:p>
        </w:tc>
        <w:tc>
          <w:tcPr>
            <w:tcW w:w="1843" w:type="dxa"/>
          </w:tcPr>
          <w:p w:rsidR="007C134E" w:rsidRDefault="0073704D" w:rsidP="00155BD6">
            <w:r>
              <w:t>C</w:t>
            </w:r>
          </w:p>
        </w:tc>
        <w:tc>
          <w:tcPr>
            <w:tcW w:w="1950" w:type="dxa"/>
          </w:tcPr>
          <w:p w:rsidR="007C134E" w:rsidRDefault="007C134E" w:rsidP="00155BD6"/>
        </w:tc>
      </w:tr>
      <w:tr w:rsidR="007C134E" w:rsidTr="00911C16">
        <w:tc>
          <w:tcPr>
            <w:tcW w:w="3652" w:type="dxa"/>
          </w:tcPr>
          <w:p w:rsidR="007C134E" w:rsidRDefault="0073704D" w:rsidP="00155BD6">
            <w:r>
              <w:t>Intezifikacija statinske terapije se treba uzeti u obzir prije uvođenja kombinovane terapije sa dodatkom ezetimiba</w:t>
            </w:r>
          </w:p>
        </w:tc>
        <w:tc>
          <w:tcPr>
            <w:tcW w:w="1843" w:type="dxa"/>
          </w:tcPr>
          <w:p w:rsidR="007C134E" w:rsidRDefault="0073704D" w:rsidP="00155BD6">
            <w:r>
              <w:t>IIa</w:t>
            </w:r>
          </w:p>
        </w:tc>
        <w:tc>
          <w:tcPr>
            <w:tcW w:w="1843" w:type="dxa"/>
          </w:tcPr>
          <w:p w:rsidR="007C134E" w:rsidRDefault="0073704D" w:rsidP="00155BD6">
            <w:r>
              <w:t>C</w:t>
            </w:r>
          </w:p>
        </w:tc>
        <w:tc>
          <w:tcPr>
            <w:tcW w:w="1950" w:type="dxa"/>
          </w:tcPr>
          <w:p w:rsidR="007C134E" w:rsidRDefault="007C134E" w:rsidP="00155BD6"/>
        </w:tc>
      </w:tr>
      <w:tr w:rsidR="007C134E" w:rsidTr="00911C16">
        <w:tc>
          <w:tcPr>
            <w:tcW w:w="3652" w:type="dxa"/>
          </w:tcPr>
          <w:p w:rsidR="007C134E" w:rsidRDefault="0073704D" w:rsidP="00155BD6">
            <w:r>
              <w:t>Korištenje lijekova za povećanje HDL-C radi prevencije CVD u DM T2 nije preporučeno</w:t>
            </w:r>
          </w:p>
        </w:tc>
        <w:tc>
          <w:tcPr>
            <w:tcW w:w="1843" w:type="dxa"/>
          </w:tcPr>
          <w:p w:rsidR="007C134E" w:rsidRDefault="0073704D" w:rsidP="00155BD6">
            <w:r>
              <w:t>III</w:t>
            </w:r>
          </w:p>
        </w:tc>
        <w:tc>
          <w:tcPr>
            <w:tcW w:w="1843" w:type="dxa"/>
          </w:tcPr>
          <w:p w:rsidR="007C134E" w:rsidRDefault="0073704D" w:rsidP="00155BD6">
            <w:r>
              <w:t>A</w:t>
            </w:r>
          </w:p>
        </w:tc>
        <w:tc>
          <w:tcPr>
            <w:tcW w:w="1950" w:type="dxa"/>
          </w:tcPr>
          <w:p w:rsidR="007C134E" w:rsidRDefault="0073704D" w:rsidP="00155BD6">
            <w:r>
              <w:t>167,168,170</w:t>
            </w:r>
          </w:p>
        </w:tc>
      </w:tr>
    </w:tbl>
    <w:p w:rsidR="007C134E" w:rsidRDefault="007C134E" w:rsidP="00155BD6"/>
    <w:p w:rsidR="00827F48" w:rsidRDefault="00827F48" w:rsidP="00155BD6"/>
    <w:p w:rsidR="00827F48" w:rsidRPr="00827F48" w:rsidRDefault="00827F48" w:rsidP="00827F48">
      <w:pPr>
        <w:rPr>
          <w:rFonts w:cs="Times New Roman"/>
          <w:b/>
        </w:rPr>
      </w:pPr>
      <w:r w:rsidRPr="00827F48">
        <w:rPr>
          <w:rFonts w:cs="Times New Roman"/>
          <w:b/>
        </w:rPr>
        <w:t>4.5 Funkcija trombocita</w:t>
      </w:r>
    </w:p>
    <w:p w:rsidR="00827F48" w:rsidRPr="00827F48" w:rsidRDefault="00827F48" w:rsidP="00827F48">
      <w:pPr>
        <w:rPr>
          <w:rFonts w:cs="Times New Roman"/>
        </w:rPr>
      </w:pPr>
      <w:r w:rsidRPr="00827F48">
        <w:rPr>
          <w:rFonts w:cs="Times New Roman"/>
        </w:rPr>
        <w:t>Aktivacija trombocita ima ključnu ulogu u inicijaciji i progresiji aterotromboze.</w:t>
      </w:r>
      <w:r w:rsidRPr="00827F48">
        <w:rPr>
          <w:rFonts w:cs="Times New Roman"/>
          <w:vertAlign w:val="superscript"/>
        </w:rPr>
        <w:t>171</w:t>
      </w:r>
      <w:r w:rsidRPr="00827F48">
        <w:rPr>
          <w:rFonts w:cs="Times New Roman"/>
        </w:rPr>
        <w:t xml:space="preserve"> Abnormlanosti u agreagciji trombocita u DM ex vivo, opisane su od strane brojnih grupa,</w:t>
      </w:r>
      <w:r w:rsidRPr="00827F48">
        <w:rPr>
          <w:rFonts w:cs="Times New Roman"/>
          <w:vertAlign w:val="superscript"/>
        </w:rPr>
        <w:t>173</w:t>
      </w:r>
      <w:r w:rsidRPr="00827F48">
        <w:rPr>
          <w:rFonts w:cs="Times New Roman"/>
        </w:rPr>
        <w:t xml:space="preserve"> a obje, i postprandijalna i perzistentna hiperglikemija su identifikovane kao glavne determinante aktivacije trombocita u ranoj i kasnoj fazi prirodnog toka T2DM.</w:t>
      </w:r>
      <w:r w:rsidRPr="00827F48">
        <w:rPr>
          <w:rFonts w:cs="Times New Roman"/>
          <w:vertAlign w:val="superscript"/>
        </w:rPr>
        <w:t>173,174</w:t>
      </w:r>
      <w:r w:rsidRPr="00827F48">
        <w:rPr>
          <w:rFonts w:cs="Times New Roman"/>
        </w:rPr>
        <w:t xml:space="preserve"> </w:t>
      </w:r>
    </w:p>
    <w:p w:rsidR="00827F48" w:rsidRPr="00827F48" w:rsidRDefault="00827F48" w:rsidP="00827F48">
      <w:pPr>
        <w:rPr>
          <w:rFonts w:cs="Times New Roman"/>
          <w:b/>
        </w:rPr>
      </w:pPr>
      <w:r w:rsidRPr="00827F48">
        <w:rPr>
          <w:rFonts w:cs="Times New Roman"/>
          <w:b/>
        </w:rPr>
        <w:t xml:space="preserve">4.5.1 Aspirin </w:t>
      </w:r>
    </w:p>
    <w:p w:rsidR="00827F48" w:rsidRPr="00827F48" w:rsidRDefault="00827F48" w:rsidP="00827F48">
      <w:pPr>
        <w:rPr>
          <w:rFonts w:cs="Times New Roman"/>
        </w:rPr>
      </w:pPr>
      <w:r w:rsidRPr="00827F48">
        <w:rPr>
          <w:rFonts w:cs="Times New Roman"/>
        </w:rPr>
        <w:t>Aspirin inhibira tromboksan (TX) A2-zavisnu aktivaciju trombocita i agreagciju preko ireverzibilne inaktivacije aktivnosti ciklooksigenaze 1 (COX-1).</w:t>
      </w:r>
      <w:r w:rsidRPr="00827F48">
        <w:rPr>
          <w:rFonts w:cs="Times New Roman"/>
          <w:vertAlign w:val="superscript"/>
        </w:rPr>
        <w:t>175</w:t>
      </w:r>
      <w:r w:rsidRPr="00827F48">
        <w:rPr>
          <w:rFonts w:cs="Times New Roman"/>
        </w:rPr>
        <w:t xml:space="preserve"> Nema studija ishoda o zavisnosti doze i vremena uzimanja na antiagregacioni efekat aspirina kod T2DM i trenutno se preporučuje u dozi od 75-162mg dnevno (kao što se koristi kod pojedinaca bez DM).</w:t>
      </w:r>
      <w:r w:rsidRPr="00827F48">
        <w:rPr>
          <w:rFonts w:cs="Times New Roman"/>
          <w:vertAlign w:val="superscript"/>
        </w:rPr>
        <w:t>175,176</w:t>
      </w:r>
      <w:r w:rsidRPr="00827F48">
        <w:rPr>
          <w:rFonts w:cs="Times New Roman"/>
        </w:rPr>
        <w:t xml:space="preserve"> Međutim, dnevna administracija male doze aspirina može biti asocirana sa inkompletnom inhibicijom trombocitne COX-1 aktivnosti</w:t>
      </w:r>
      <w:r w:rsidRPr="00827F48">
        <w:rPr>
          <w:rFonts w:cs="Times New Roman"/>
          <w:vertAlign w:val="superscript"/>
        </w:rPr>
        <w:t>177</w:t>
      </w:r>
      <w:r w:rsidRPr="00827F48">
        <w:rPr>
          <w:rFonts w:cs="Times New Roman"/>
        </w:rPr>
        <w:t xml:space="preserve"> i TXA2-</w:t>
      </w:r>
      <w:r w:rsidRPr="00827F48">
        <w:rPr>
          <w:rFonts w:cs="Times New Roman"/>
        </w:rPr>
        <w:lastRenderedPageBreak/>
        <w:t>zavisne funkcije trombocita,</w:t>
      </w:r>
      <w:r w:rsidRPr="00827F48">
        <w:rPr>
          <w:rFonts w:cs="Times New Roman"/>
          <w:vertAlign w:val="superscript"/>
        </w:rPr>
        <w:t>178,179</w:t>
      </w:r>
      <w:r w:rsidRPr="00827F48">
        <w:rPr>
          <w:rFonts w:cs="Times New Roman"/>
        </w:rPr>
        <w:t xml:space="preserve"> možda zbog pojačanog obrta trombocita u DM.</w:t>
      </w:r>
      <w:r w:rsidRPr="00827F48">
        <w:rPr>
          <w:rFonts w:cs="Times New Roman"/>
          <w:vertAlign w:val="superscript"/>
        </w:rPr>
        <w:t>180</w:t>
      </w:r>
      <w:r w:rsidRPr="00827F48">
        <w:rPr>
          <w:rFonts w:cs="Times New Roman"/>
        </w:rPr>
        <w:t xml:space="preserve"> Javljaju se novi dokazi o održivoj efikasnosti kod upotrebe aspirina dvaput dnevno kod subjekata sa DM i CVD.</w:t>
      </w:r>
      <w:r w:rsidRPr="00827F48">
        <w:rPr>
          <w:rFonts w:cs="Times New Roman"/>
          <w:vertAlign w:val="superscript"/>
        </w:rPr>
        <w:t>180,181</w:t>
      </w:r>
      <w:r w:rsidRPr="00827F48">
        <w:rPr>
          <w:rFonts w:cs="Times New Roman"/>
        </w:rPr>
        <w:t xml:space="preserve"> </w:t>
      </w:r>
    </w:p>
    <w:p w:rsidR="00827F48" w:rsidRPr="00827F48" w:rsidRDefault="00827F48" w:rsidP="00827F48">
      <w:pPr>
        <w:rPr>
          <w:rFonts w:cs="Times New Roman"/>
        </w:rPr>
      </w:pPr>
      <w:r w:rsidRPr="00827F48">
        <w:rPr>
          <w:rFonts w:cs="Times New Roman"/>
          <w:b/>
        </w:rPr>
        <w:t>Sekundarna prevencija</w:t>
      </w:r>
      <w:r w:rsidRPr="00827F48">
        <w:rPr>
          <w:rFonts w:cs="Times New Roman"/>
        </w:rPr>
        <w:t>. Prvi zajednički pregled the Antiplatelet Trialists’ Collaboration je našla da je antiagregaciona terapija (uglavnom sa aspirinom), jedanko efikasna među pacijentima sa već ranije postojećom  simptomatskom CVD, bez obzira na postojanje DM.</w:t>
      </w:r>
      <w:r w:rsidRPr="00827F48">
        <w:rPr>
          <w:rFonts w:cs="Times New Roman"/>
          <w:vertAlign w:val="superscript"/>
        </w:rPr>
        <w:t>182</w:t>
      </w:r>
      <w:r w:rsidRPr="00827F48">
        <w:rPr>
          <w:rFonts w:cs="Times New Roman"/>
        </w:rPr>
        <w:t xml:space="preserve"> Oni su analizirali individualne podatke o ozbiljnim vaskularnim događajima (nefatalnim MI, nefatalnim moždanim udarima, ili vaskularnoj smrti) kod približno 4500 pacijenta sa DM u randomiziranoj studiji i našli su da je liječenje sa antiagregacionim lijekovima izazvalo proporcionalno smanjenje za otprilike jednu četvrtinu.</w:t>
      </w:r>
      <w:r w:rsidRPr="00827F48">
        <w:rPr>
          <w:rFonts w:cs="Times New Roman"/>
          <w:vertAlign w:val="superscript"/>
        </w:rPr>
        <w:t>182</w:t>
      </w:r>
      <w:r w:rsidRPr="00827F48">
        <w:rPr>
          <w:rFonts w:cs="Times New Roman"/>
        </w:rPr>
        <w:t xml:space="preserve"> Zbog toga, nema razloga da se pacijent sa DM i CVD liječi drugačije od pacijenta bez DM, i male doze aspirina se jednako preporučuju kako za akutni tretman ishemičnog sindroma tako i za njegovu sekundrnu prevenciju.</w:t>
      </w:r>
      <w:r w:rsidRPr="00827F48">
        <w:rPr>
          <w:rFonts w:cs="Times New Roman"/>
          <w:vertAlign w:val="superscript"/>
        </w:rPr>
        <w:t>175</w:t>
      </w:r>
      <w:r w:rsidRPr="00827F48">
        <w:rPr>
          <w:rFonts w:cs="Times New Roman"/>
        </w:rPr>
        <w:t xml:space="preserve"> </w:t>
      </w:r>
    </w:p>
    <w:p w:rsidR="00827F48" w:rsidRPr="00827F48" w:rsidRDefault="00827F48" w:rsidP="00827F48">
      <w:pPr>
        <w:rPr>
          <w:rFonts w:cs="Times New Roman"/>
        </w:rPr>
      </w:pPr>
      <w:r w:rsidRPr="00827F48">
        <w:rPr>
          <w:rFonts w:cs="Times New Roman"/>
          <w:b/>
        </w:rPr>
        <w:t>Primarna prevencija.</w:t>
      </w:r>
      <w:r w:rsidRPr="00827F48">
        <w:rPr>
          <w:rFonts w:cs="Times New Roman"/>
        </w:rPr>
        <w:t xml:space="preserve"> Aspirin u maloj dozi se preporučuje od strane nekoliko sjevero-američkih organizacija za primarnu prevenciju kardiovaskularnih događaja kod odraslih sa DM.</w:t>
      </w:r>
      <w:r w:rsidRPr="00827F48">
        <w:rPr>
          <w:rFonts w:cs="Times New Roman"/>
          <w:vertAlign w:val="superscript"/>
        </w:rPr>
        <w:t>176,183</w:t>
      </w:r>
      <w:r w:rsidRPr="00827F48">
        <w:rPr>
          <w:rFonts w:cs="Times New Roman"/>
        </w:rPr>
        <w:t xml:space="preserve"> Međutim, direktni dokazi za njegovu efikasnost i sigurnost u ovoj vrsti primjene nedostaju- ili su u najmanju ruku nepotpuni.</w:t>
      </w:r>
      <w:r w:rsidRPr="00827F48">
        <w:rPr>
          <w:rFonts w:cs="Times New Roman"/>
          <w:vertAlign w:val="superscript"/>
        </w:rPr>
        <w:t>184,185</w:t>
      </w:r>
      <w:r w:rsidRPr="00827F48">
        <w:rPr>
          <w:rFonts w:cs="Times New Roman"/>
        </w:rPr>
        <w:t xml:space="preserve"> Zato, u većini najnovijih metaanaliza, koje uključuju tri studije sprovedene posebno kod pacijenta sa DM i šet drugih studija u kojima su ti pacijenti predstavljali subgrupu u okviru šire populacije, nađeno je da je aspirin povezan sa nesignifikantnim smanjem od 9% od rizika od koronarne bolesti (RR 0.91; 95% CI 0.79-1.05) i nesignifakntnim 15% smanjenjem od rizika od moždanog udara (RR 0.85; 95% CI 0.66-1.11).</w:t>
      </w:r>
      <w:r w:rsidRPr="00827F48">
        <w:rPr>
          <w:rFonts w:cs="Times New Roman"/>
          <w:vertAlign w:val="superscript"/>
        </w:rPr>
        <w:t>178</w:t>
      </w:r>
      <w:r w:rsidRPr="00827F48">
        <w:rPr>
          <w:rFonts w:cs="Times New Roman"/>
        </w:rPr>
        <w:t xml:space="preserve"> Trebalo bi naglasiti da je ukupan broj pacijenta sa DM uključenih u ovih 9 studija bio 11 787, sa sa izdvojenim 10-godišnjim stopama koronarnih događaja  koji variraju od od malih poput 2.5% do visokih poput 33.5%.</w:t>
      </w:r>
      <w:r w:rsidRPr="00827F48">
        <w:rPr>
          <w:rFonts w:cs="Times New Roman"/>
          <w:vertAlign w:val="superscript"/>
        </w:rPr>
        <w:t>176</w:t>
      </w:r>
      <w:r w:rsidRPr="00827F48">
        <w:rPr>
          <w:rFonts w:cs="Times New Roman"/>
        </w:rPr>
        <w:t xml:space="preserve"> Ovi rezultati su interpretirani na osnovu sugestije da aspirin vjerovatno uzrokuje umjereno smanjenje u riziku od kardiovaskularnih ali ograničen broj dostupnih podataka isključuje tačnu procjenu o veličini efekta. U skladu sa ovom nesigurnošću, antiagregaciona terapija sa aspirinom kod odraslih sa malim CVD rizikom se ne prepručuje  od strane “Fifth Joint Task Force” Evropskog udruženja kardiologa i drugih udruženja koja se bave prevencijom CVD u kliničkoj praksi.</w:t>
      </w:r>
      <w:r w:rsidRPr="00827F48">
        <w:rPr>
          <w:rFonts w:cs="Times New Roman"/>
          <w:vertAlign w:val="superscript"/>
        </w:rPr>
        <w:t>42</w:t>
      </w:r>
      <w:r w:rsidRPr="00827F48">
        <w:rPr>
          <w:rFonts w:cs="Times New Roman"/>
        </w:rPr>
        <w:t xml:space="preserve"> </w:t>
      </w:r>
    </w:p>
    <w:p w:rsidR="00827F48" w:rsidRPr="00827F48" w:rsidRDefault="00827F48" w:rsidP="00827F48">
      <w:pPr>
        <w:rPr>
          <w:rFonts w:cs="Times New Roman"/>
        </w:rPr>
      </w:pPr>
      <w:r w:rsidRPr="00827F48">
        <w:rPr>
          <w:rFonts w:cs="Times New Roman"/>
          <w:b/>
        </w:rPr>
        <w:t>Odnos rizik- benefit za aspirin</w:t>
      </w:r>
      <w:r w:rsidRPr="00827F48">
        <w:rPr>
          <w:rFonts w:cs="Times New Roman"/>
        </w:rPr>
        <w:t>. U metaanalizi šest studija o primarnoj prevenciji, aspirin je bio povezan sa 55% povećanjem u ekstrakrnijalnom (uglavnom gastro-intestinlanom) krvarenju i kod pacijenata sa DM i onih bez njega.</w:t>
      </w:r>
      <w:r w:rsidRPr="00827F48">
        <w:rPr>
          <w:rFonts w:cs="Times New Roman"/>
          <w:vertAlign w:val="superscript"/>
        </w:rPr>
        <w:t>186</w:t>
      </w:r>
      <w:r w:rsidRPr="00827F48">
        <w:rPr>
          <w:rFonts w:cs="Times New Roman"/>
        </w:rPr>
        <w:t xml:space="preserve"> U smislu balansa rizik-benefit u primarnoj prevenciji, ovi rezultati vjerovatno predstavljaju najbolji slučaj, jer su oni sa povišenim rizikom od gastrointestinalnog krvarenja bili isključeni, i a stariji subjekti nisu bili dovoljno zastupljeni.</w:t>
      </w:r>
      <w:r w:rsidRPr="00827F48">
        <w:rPr>
          <w:rFonts w:cs="Times New Roman"/>
          <w:vertAlign w:val="superscript"/>
        </w:rPr>
        <w:t>186</w:t>
      </w:r>
      <w:r w:rsidRPr="00827F48">
        <w:rPr>
          <w:rFonts w:cs="Times New Roman"/>
        </w:rPr>
        <w:t xml:space="preserve"> U ovoj analizi, DM u osnovi je bio povezan sa dvostrukim povećanjem u vaskularnim događajima i sa 50% povećanim rizikom od glavnih ekstrakranijalnih krvarenja.</w:t>
      </w:r>
      <w:r w:rsidRPr="00827F48">
        <w:rPr>
          <w:rFonts w:cs="Times New Roman"/>
          <w:vertAlign w:val="superscript"/>
        </w:rPr>
        <w:t>186</w:t>
      </w:r>
      <w:r w:rsidRPr="00827F48">
        <w:rPr>
          <w:rFonts w:cs="Times New Roman"/>
        </w:rPr>
        <w:t xml:space="preserve"> </w:t>
      </w:r>
    </w:p>
    <w:p w:rsidR="00827F48" w:rsidRPr="00827F48" w:rsidRDefault="00827F48" w:rsidP="00827F48">
      <w:pPr>
        <w:rPr>
          <w:rFonts w:cs="Times New Roman"/>
        </w:rPr>
      </w:pPr>
      <w:r w:rsidRPr="00827F48">
        <w:rPr>
          <w:rFonts w:cs="Times New Roman"/>
        </w:rPr>
        <w:t>ADA/AHA/ACCF Scientific Statement  i Kliničke praktične smjernice Endokrinološkog udruženja favorizuju korišćenje aspirina kod odraslih sa DM kada je 10-godišnji rizik od kardiovaskularnih događaja &gt; 10%.</w:t>
      </w:r>
      <w:r w:rsidRPr="00827F48">
        <w:rPr>
          <w:rFonts w:cs="Times New Roman"/>
          <w:vertAlign w:val="superscript"/>
        </w:rPr>
        <w:t>176,183</w:t>
      </w:r>
      <w:r w:rsidRPr="00827F48">
        <w:rPr>
          <w:rFonts w:cs="Times New Roman"/>
        </w:rPr>
        <w:t xml:space="preserve"> Međutim, relativno mali naglasak je stavljen na potrebu da se procjeni rizik od krvarenja. Godišnji rizik od kardiovaskularnih događaja se povećava kod ljudi u poređenju sa onima bez DM,</w:t>
      </w:r>
      <w:r w:rsidRPr="00827F48">
        <w:rPr>
          <w:rFonts w:cs="Times New Roman"/>
          <w:vertAlign w:val="superscript"/>
        </w:rPr>
        <w:t>176</w:t>
      </w:r>
      <w:r w:rsidRPr="00827F48">
        <w:rPr>
          <w:rFonts w:cs="Times New Roman"/>
        </w:rPr>
        <w:t xml:space="preserve"> ali ovo se mora balansirati sa godišnjim rizikom od gornjeg gastro-intestinalnog kravrenja koji varira značajno u zavisnosti od godina i istorije želudačne ulcerozne bolesti.</w:t>
      </w:r>
      <w:r w:rsidRPr="00827F48">
        <w:rPr>
          <w:rFonts w:cs="Times New Roman"/>
          <w:vertAlign w:val="superscript"/>
        </w:rPr>
        <w:t>175,187</w:t>
      </w:r>
      <w:r w:rsidRPr="00827F48">
        <w:rPr>
          <w:rFonts w:cs="Times New Roman"/>
        </w:rPr>
        <w:t xml:space="preserve"> </w:t>
      </w:r>
    </w:p>
    <w:p w:rsidR="00827F48" w:rsidRPr="00827F48" w:rsidRDefault="00827F48" w:rsidP="00827F48">
      <w:pPr>
        <w:rPr>
          <w:rFonts w:cs="Times New Roman"/>
          <w:b/>
        </w:rPr>
      </w:pPr>
      <w:r w:rsidRPr="00827F48">
        <w:rPr>
          <w:rFonts w:cs="Times New Roman"/>
          <w:b/>
        </w:rPr>
        <w:t xml:space="preserve">4.5.2 Blokatori P2Y12 receptora </w:t>
      </w:r>
    </w:p>
    <w:p w:rsidR="00827F48" w:rsidRPr="00827F48" w:rsidRDefault="00827F48" w:rsidP="00827F48">
      <w:pPr>
        <w:rPr>
          <w:rFonts w:cs="Times New Roman"/>
        </w:rPr>
      </w:pPr>
      <w:r w:rsidRPr="00827F48">
        <w:rPr>
          <w:rFonts w:cs="Times New Roman"/>
        </w:rPr>
        <w:lastRenderedPageBreak/>
        <w:t>Klopidogrel, ireverzibilni blokator adenozin difosfat (ADP) receptora P2Y12, je odgovarajuća alternativa za pacijente koji ne tolerišu aspirin ili imaju simptomatsku perifernu vaskularnu bolest.</w:t>
      </w:r>
      <w:r w:rsidRPr="00827F48">
        <w:rPr>
          <w:rFonts w:cs="Times New Roman"/>
          <w:vertAlign w:val="superscript"/>
        </w:rPr>
        <w:t>188,189</w:t>
      </w:r>
      <w:r w:rsidRPr="00827F48">
        <w:rPr>
          <w:rFonts w:cs="Times New Roman"/>
        </w:rPr>
        <w:t xml:space="preserve"> Klopidogrel (75mg na dan), proizvodi aditivni kardio-protektivni efekat kada se kombinuje sa niskom dozom aspirina (75-160 mg jednom dnevno) kod pacijenta sa akutnim koronarnim sindromom (ACS) i onih koji se podvrgavaju perkutanoj koronarnoj intervenciji (PCI).</w:t>
      </w:r>
      <w:r w:rsidRPr="00827F48">
        <w:rPr>
          <w:rFonts w:cs="Times New Roman"/>
          <w:vertAlign w:val="superscript"/>
        </w:rPr>
        <w:t>188</w:t>
      </w:r>
      <w:r w:rsidRPr="00827F48">
        <w:rPr>
          <w:rFonts w:cs="Times New Roman"/>
        </w:rPr>
        <w:t xml:space="preserve"> Međutim, dokazi iz CHARISMA (Studija da se procjeni poboljšanje u terapiji poboljšavanjem inhibicije trombocita sa trombolizom-prasugrelom u infarktu miokarda) studija, ukazuje da klopidogrel dodat aspirinu može imati štetan efekat kod pacijenata sa uznapredovalom nefropatijom.</w:t>
      </w:r>
      <w:r w:rsidRPr="00827F48">
        <w:rPr>
          <w:rFonts w:cs="Times New Roman"/>
          <w:vertAlign w:val="superscript"/>
        </w:rPr>
        <w:t>190</w:t>
      </w:r>
      <w:r w:rsidRPr="00827F48">
        <w:rPr>
          <w:rFonts w:cs="Times New Roman"/>
        </w:rPr>
        <w:t xml:space="preserve"> U više efikasne P2Y12 blokatore se uključuju prasugrel i tikagrelor, koji ima reverzibilan efekat.</w:t>
      </w:r>
      <w:r w:rsidRPr="00827F48">
        <w:rPr>
          <w:rFonts w:cs="Times New Roman"/>
          <w:vertAlign w:val="superscript"/>
        </w:rPr>
        <w:t>188</w:t>
      </w:r>
      <w:r w:rsidRPr="00827F48">
        <w:rPr>
          <w:rFonts w:cs="Times New Roman"/>
        </w:rPr>
        <w:t xml:space="preserve"> U TRITON-TIMI (Studija da se procjeni poboljšanje u terapijskom ishodu kroz optimiziranje inhibicije trombocita sa prasugrel-trombolizom u infarkti miokarda) 38, prasugrel je pokazao superiornost u odnsou na na klopidogrel u post -ACS prevenciji rekurentnih ishemičnih događaja; međutim prasugrel je nosio rizik od povećane tromboze u infarktu miokarda (TIMI) velikog krvarenja.</w:t>
      </w:r>
      <w:r w:rsidRPr="00827F48">
        <w:rPr>
          <w:rFonts w:cs="Times New Roman"/>
          <w:vertAlign w:val="superscript"/>
        </w:rPr>
        <w:t>191</w:t>
      </w:r>
      <w:r w:rsidRPr="00827F48">
        <w:rPr>
          <w:rFonts w:cs="Times New Roman"/>
        </w:rPr>
        <w:t xml:space="preserve"> Tikagrelor je takođe bio više efikasan nego klopidogrel u smanjenju 12-mjesečnog mortaliteta poslije –ACS, </w:t>
      </w:r>
      <w:r w:rsidRPr="00827F48">
        <w:rPr>
          <w:rFonts w:cs="Times New Roman"/>
          <w:vertAlign w:val="superscript"/>
        </w:rPr>
        <w:t>193</w:t>
      </w:r>
      <w:r w:rsidRPr="00827F48">
        <w:rPr>
          <w:rFonts w:cs="Times New Roman"/>
        </w:rPr>
        <w:t xml:space="preserve"> i smanjenja ishemičnih događaja kod pacijenata sa DM bez povećanja krvarenja.</w:t>
      </w:r>
      <w:r w:rsidRPr="00827F48">
        <w:rPr>
          <w:rFonts w:cs="Times New Roman"/>
          <w:vertAlign w:val="superscript"/>
        </w:rPr>
        <w:t>194</w:t>
      </w:r>
      <w:r w:rsidRPr="00827F48">
        <w:rPr>
          <w:rFonts w:cs="Times New Roman"/>
        </w:rPr>
        <w:t xml:space="preserve"> Tikakrelor je bio superiorniji u odnosu na klopidogrel u ACS sa renalnim oštećenjem</w:t>
      </w:r>
      <w:r w:rsidRPr="00827F48">
        <w:rPr>
          <w:rFonts w:cs="Times New Roman"/>
          <w:vertAlign w:val="superscript"/>
        </w:rPr>
        <w:t>195</w:t>
      </w:r>
      <w:r w:rsidRPr="00827F48">
        <w:rPr>
          <w:rFonts w:cs="Times New Roman"/>
        </w:rPr>
        <w:t xml:space="preserve"> Nema ubjedljivog dokaza da su  klopidogrel ili novi lijekovi išta više ili manje efikasni u prisustvu DM nego bez njega.</w:t>
      </w:r>
      <w:r w:rsidRPr="00827F48">
        <w:rPr>
          <w:rFonts w:cs="Times New Roman"/>
          <w:vertAlign w:val="superscript"/>
        </w:rPr>
        <w:t>188</w:t>
      </w:r>
      <w:r w:rsidRPr="00827F48">
        <w:rPr>
          <w:rFonts w:cs="Times New Roman"/>
        </w:rPr>
        <w:t xml:space="preserve"> </w:t>
      </w:r>
    </w:p>
    <w:tbl>
      <w:tblPr>
        <w:tblStyle w:val="TableGrid"/>
        <w:tblW w:w="0" w:type="auto"/>
        <w:tblLook w:val="04A0" w:firstRow="1" w:lastRow="0" w:firstColumn="1" w:lastColumn="0" w:noHBand="0" w:noVBand="1"/>
      </w:tblPr>
      <w:tblGrid>
        <w:gridCol w:w="6604"/>
        <w:gridCol w:w="846"/>
        <w:gridCol w:w="842"/>
        <w:gridCol w:w="996"/>
      </w:tblGrid>
      <w:tr w:rsidR="00827F48" w:rsidRPr="00827F48" w:rsidTr="004373B5">
        <w:tc>
          <w:tcPr>
            <w:tcW w:w="9576" w:type="dxa"/>
            <w:gridSpan w:val="4"/>
            <w:tcBorders>
              <w:top w:val="nil"/>
              <w:left w:val="nil"/>
              <w:right w:val="nil"/>
            </w:tcBorders>
          </w:tcPr>
          <w:p w:rsidR="00827F48" w:rsidRPr="00827F48" w:rsidRDefault="00827F48" w:rsidP="004373B5">
            <w:pPr>
              <w:rPr>
                <w:rFonts w:cs="Arial"/>
              </w:rPr>
            </w:pPr>
            <w:r w:rsidRPr="00827F48">
              <w:rPr>
                <w:rFonts w:cs="Arial"/>
              </w:rPr>
              <w:t>Preporuke za antiagregacionu terapiju kod pacijenata sa dijebetesom</w:t>
            </w:r>
          </w:p>
        </w:tc>
      </w:tr>
      <w:tr w:rsidR="00827F48" w:rsidRPr="00827F48" w:rsidTr="004373B5">
        <w:tc>
          <w:tcPr>
            <w:tcW w:w="9576" w:type="dxa"/>
            <w:gridSpan w:val="4"/>
          </w:tcPr>
          <w:p w:rsidR="00827F48" w:rsidRPr="00827F48" w:rsidRDefault="00827F48" w:rsidP="004373B5">
            <w:pPr>
              <w:rPr>
                <w:rFonts w:cs="Arial"/>
              </w:rPr>
            </w:pPr>
            <w:r w:rsidRPr="00827F48">
              <w:rPr>
                <w:rFonts w:cs="Arial"/>
              </w:rPr>
              <w:t>Antiagregaciona terapija kod pacijenata sa dijabetesom</w:t>
            </w:r>
          </w:p>
        </w:tc>
      </w:tr>
      <w:tr w:rsidR="00827F48" w:rsidRPr="00827F48" w:rsidTr="004373B5">
        <w:tc>
          <w:tcPr>
            <w:tcW w:w="6912" w:type="dxa"/>
          </w:tcPr>
          <w:p w:rsidR="00827F48" w:rsidRPr="00827F48" w:rsidRDefault="00827F48" w:rsidP="004373B5">
            <w:pPr>
              <w:rPr>
                <w:rFonts w:cs="Arial"/>
                <w:b/>
              </w:rPr>
            </w:pPr>
            <w:r w:rsidRPr="00827F48">
              <w:rPr>
                <w:rFonts w:cs="Arial"/>
                <w:b/>
              </w:rPr>
              <w:t xml:space="preserve">Preporuke </w:t>
            </w:r>
          </w:p>
        </w:tc>
        <w:tc>
          <w:tcPr>
            <w:tcW w:w="851" w:type="dxa"/>
          </w:tcPr>
          <w:p w:rsidR="00827F48" w:rsidRPr="00827F48" w:rsidRDefault="00827F48" w:rsidP="004373B5">
            <w:pPr>
              <w:rPr>
                <w:rFonts w:cs="Arial"/>
                <w:b/>
              </w:rPr>
            </w:pPr>
            <w:r w:rsidRPr="00827F48">
              <w:rPr>
                <w:rFonts w:cs="Arial"/>
                <w:b/>
              </w:rPr>
              <w:t>Klasa</w:t>
            </w:r>
            <w:r w:rsidRPr="00827F48">
              <w:rPr>
                <w:rFonts w:cs="Arial"/>
                <w:b/>
                <w:vertAlign w:val="superscript"/>
              </w:rPr>
              <w:t>a</w:t>
            </w:r>
          </w:p>
        </w:tc>
        <w:tc>
          <w:tcPr>
            <w:tcW w:w="850" w:type="dxa"/>
          </w:tcPr>
          <w:p w:rsidR="00827F48" w:rsidRPr="00827F48" w:rsidRDefault="00827F48" w:rsidP="004373B5">
            <w:pPr>
              <w:rPr>
                <w:rFonts w:cs="Arial"/>
                <w:b/>
              </w:rPr>
            </w:pPr>
            <w:r w:rsidRPr="00827F48">
              <w:rPr>
                <w:rFonts w:cs="Arial"/>
                <w:b/>
              </w:rPr>
              <w:t>Nivo</w:t>
            </w:r>
            <w:r w:rsidRPr="00827F48">
              <w:rPr>
                <w:rFonts w:cs="Arial"/>
                <w:b/>
                <w:vertAlign w:val="superscript"/>
              </w:rPr>
              <w:t>b</w:t>
            </w:r>
          </w:p>
        </w:tc>
        <w:tc>
          <w:tcPr>
            <w:tcW w:w="963" w:type="dxa"/>
          </w:tcPr>
          <w:p w:rsidR="00827F48" w:rsidRPr="00827F48" w:rsidRDefault="00827F48" w:rsidP="004373B5">
            <w:pPr>
              <w:rPr>
                <w:rFonts w:cs="Arial"/>
                <w:b/>
              </w:rPr>
            </w:pPr>
            <w:r w:rsidRPr="00827F48">
              <w:rPr>
                <w:rFonts w:cs="Arial"/>
                <w:b/>
              </w:rPr>
              <w:t>Ref.</w:t>
            </w:r>
            <w:r w:rsidRPr="00827F48">
              <w:rPr>
                <w:rFonts w:cs="Arial"/>
                <w:b/>
                <w:vertAlign w:val="superscript"/>
              </w:rPr>
              <w:t>c</w:t>
            </w:r>
          </w:p>
        </w:tc>
      </w:tr>
      <w:tr w:rsidR="00827F48" w:rsidRPr="00827F48" w:rsidTr="004373B5">
        <w:tc>
          <w:tcPr>
            <w:tcW w:w="6912" w:type="dxa"/>
          </w:tcPr>
          <w:p w:rsidR="00827F48" w:rsidRPr="00827F48" w:rsidRDefault="00827F48" w:rsidP="004373B5">
            <w:pPr>
              <w:rPr>
                <w:rFonts w:cs="Arial"/>
              </w:rPr>
            </w:pPr>
            <w:r w:rsidRPr="00827F48">
              <w:rPr>
                <w:rFonts w:cs="Arial"/>
              </w:rPr>
              <w:t xml:space="preserve">Antiagreagciona terapija sa aspirinom kod pacijenata sa DM sa malim rizikom od CVD se ne preporučuje. </w:t>
            </w:r>
          </w:p>
        </w:tc>
        <w:tc>
          <w:tcPr>
            <w:tcW w:w="851" w:type="dxa"/>
            <w:vAlign w:val="center"/>
          </w:tcPr>
          <w:p w:rsidR="00827F48" w:rsidRPr="00827F48" w:rsidRDefault="00827F48" w:rsidP="004373B5">
            <w:pPr>
              <w:jc w:val="center"/>
              <w:rPr>
                <w:rFonts w:cs="Arial"/>
              </w:rPr>
            </w:pPr>
            <w:r w:rsidRPr="00827F48">
              <w:rPr>
                <w:rFonts w:cs="Arial"/>
              </w:rPr>
              <w:t>III</w:t>
            </w:r>
          </w:p>
        </w:tc>
        <w:tc>
          <w:tcPr>
            <w:tcW w:w="850" w:type="dxa"/>
            <w:vAlign w:val="center"/>
          </w:tcPr>
          <w:p w:rsidR="00827F48" w:rsidRPr="00827F48" w:rsidRDefault="00827F48" w:rsidP="004373B5">
            <w:pPr>
              <w:jc w:val="center"/>
              <w:rPr>
                <w:rFonts w:cs="Arial"/>
              </w:rPr>
            </w:pPr>
            <w:r w:rsidRPr="00827F48">
              <w:rPr>
                <w:rFonts w:cs="Arial"/>
              </w:rPr>
              <w:t>A</w:t>
            </w:r>
          </w:p>
        </w:tc>
        <w:tc>
          <w:tcPr>
            <w:tcW w:w="963" w:type="dxa"/>
            <w:vAlign w:val="center"/>
          </w:tcPr>
          <w:p w:rsidR="00827F48" w:rsidRPr="00827F48" w:rsidRDefault="00827F48" w:rsidP="004373B5">
            <w:pPr>
              <w:jc w:val="center"/>
              <w:rPr>
                <w:rFonts w:cs="Arial"/>
              </w:rPr>
            </w:pPr>
            <w:r w:rsidRPr="00827F48">
              <w:rPr>
                <w:rFonts w:cs="Arial"/>
              </w:rPr>
              <w:t>184-186</w:t>
            </w:r>
          </w:p>
        </w:tc>
      </w:tr>
      <w:tr w:rsidR="00827F48" w:rsidRPr="00827F48" w:rsidTr="004373B5">
        <w:tc>
          <w:tcPr>
            <w:tcW w:w="6912" w:type="dxa"/>
          </w:tcPr>
          <w:p w:rsidR="00827F48" w:rsidRPr="00827F48" w:rsidRDefault="00827F48" w:rsidP="004373B5">
            <w:pPr>
              <w:rPr>
                <w:rFonts w:cs="Arial"/>
              </w:rPr>
            </w:pPr>
            <w:r w:rsidRPr="00827F48">
              <w:rPr>
                <w:rFonts w:cs="Arial"/>
              </w:rPr>
              <w:t xml:space="preserve">Antiagregaciona terapija za primarnu prevenciju se može razmotriti kod visokorizičnih pacijenata sa DM na individualnoj bazi. </w:t>
            </w:r>
          </w:p>
        </w:tc>
        <w:tc>
          <w:tcPr>
            <w:tcW w:w="851" w:type="dxa"/>
            <w:vAlign w:val="center"/>
          </w:tcPr>
          <w:p w:rsidR="00827F48" w:rsidRPr="00827F48" w:rsidRDefault="00827F48" w:rsidP="004373B5">
            <w:pPr>
              <w:jc w:val="center"/>
              <w:rPr>
                <w:rFonts w:cs="Arial"/>
              </w:rPr>
            </w:pPr>
            <w:r w:rsidRPr="00827F48">
              <w:rPr>
                <w:rFonts w:cs="Arial"/>
              </w:rPr>
              <w:t>IIb</w:t>
            </w:r>
          </w:p>
        </w:tc>
        <w:tc>
          <w:tcPr>
            <w:tcW w:w="850" w:type="dxa"/>
            <w:vAlign w:val="center"/>
          </w:tcPr>
          <w:p w:rsidR="00827F48" w:rsidRPr="00827F48" w:rsidRDefault="00827F48" w:rsidP="004373B5">
            <w:pPr>
              <w:jc w:val="center"/>
              <w:rPr>
                <w:rFonts w:cs="Arial"/>
              </w:rPr>
            </w:pPr>
            <w:r w:rsidRPr="00827F48">
              <w:rPr>
                <w:rFonts w:cs="Arial"/>
              </w:rPr>
              <w:t>C</w:t>
            </w:r>
          </w:p>
        </w:tc>
        <w:tc>
          <w:tcPr>
            <w:tcW w:w="963" w:type="dxa"/>
            <w:vAlign w:val="center"/>
          </w:tcPr>
          <w:p w:rsidR="00827F48" w:rsidRPr="00827F48" w:rsidRDefault="00827F48" w:rsidP="004373B5">
            <w:pPr>
              <w:jc w:val="center"/>
              <w:rPr>
                <w:rFonts w:cs="Arial"/>
              </w:rPr>
            </w:pPr>
            <w:r w:rsidRPr="00827F48">
              <w:rPr>
                <w:rFonts w:cs="Arial"/>
              </w:rPr>
              <w:t>-</w:t>
            </w:r>
          </w:p>
        </w:tc>
      </w:tr>
      <w:tr w:rsidR="00827F48" w:rsidRPr="00827F48" w:rsidTr="004373B5">
        <w:tc>
          <w:tcPr>
            <w:tcW w:w="6912" w:type="dxa"/>
          </w:tcPr>
          <w:p w:rsidR="00827F48" w:rsidRPr="00827F48" w:rsidRDefault="00827F48" w:rsidP="004373B5">
            <w:pPr>
              <w:rPr>
                <w:rFonts w:cs="Arial"/>
              </w:rPr>
            </w:pPr>
            <w:r w:rsidRPr="00827F48">
              <w:rPr>
                <w:rFonts w:cs="Arial"/>
              </w:rPr>
              <w:t xml:space="preserve">Aspirin u dozi od 75-160 mg/dan se preporučuje kao sekundarna prevencija u DM. </w:t>
            </w:r>
          </w:p>
        </w:tc>
        <w:tc>
          <w:tcPr>
            <w:tcW w:w="851" w:type="dxa"/>
            <w:vAlign w:val="center"/>
          </w:tcPr>
          <w:p w:rsidR="00827F48" w:rsidRPr="00827F48" w:rsidRDefault="00827F48" w:rsidP="004373B5">
            <w:pPr>
              <w:jc w:val="center"/>
              <w:rPr>
                <w:rFonts w:cs="Arial"/>
              </w:rPr>
            </w:pPr>
            <w:r w:rsidRPr="00827F48">
              <w:rPr>
                <w:rFonts w:cs="Arial"/>
              </w:rPr>
              <w:t>I</w:t>
            </w:r>
          </w:p>
        </w:tc>
        <w:tc>
          <w:tcPr>
            <w:tcW w:w="850" w:type="dxa"/>
            <w:vAlign w:val="center"/>
          </w:tcPr>
          <w:p w:rsidR="00827F48" w:rsidRPr="00827F48" w:rsidRDefault="00827F48" w:rsidP="004373B5">
            <w:pPr>
              <w:jc w:val="center"/>
              <w:rPr>
                <w:rFonts w:cs="Arial"/>
              </w:rPr>
            </w:pPr>
            <w:r w:rsidRPr="00827F48">
              <w:rPr>
                <w:rFonts w:cs="Arial"/>
              </w:rPr>
              <w:t>A</w:t>
            </w:r>
          </w:p>
        </w:tc>
        <w:tc>
          <w:tcPr>
            <w:tcW w:w="963" w:type="dxa"/>
            <w:vAlign w:val="center"/>
          </w:tcPr>
          <w:p w:rsidR="00827F48" w:rsidRPr="00827F48" w:rsidRDefault="00827F48" w:rsidP="004373B5">
            <w:pPr>
              <w:jc w:val="center"/>
              <w:rPr>
                <w:rFonts w:cs="Arial"/>
              </w:rPr>
            </w:pPr>
            <w:r w:rsidRPr="00827F48">
              <w:rPr>
                <w:rFonts w:cs="Arial"/>
              </w:rPr>
              <w:t>182</w:t>
            </w:r>
          </w:p>
        </w:tc>
      </w:tr>
      <w:tr w:rsidR="00827F48" w:rsidRPr="00827F48" w:rsidTr="004373B5">
        <w:tc>
          <w:tcPr>
            <w:tcW w:w="6912" w:type="dxa"/>
          </w:tcPr>
          <w:p w:rsidR="00827F48" w:rsidRPr="00827F48" w:rsidRDefault="00827F48" w:rsidP="004373B5">
            <w:pPr>
              <w:rPr>
                <w:rFonts w:cs="Arial"/>
              </w:rPr>
            </w:pPr>
            <w:r w:rsidRPr="00827F48">
              <w:rPr>
                <w:rFonts w:cs="Arial"/>
              </w:rPr>
              <w:t xml:space="preserve">Blokator P2Y12 receptora je preporučen kod pacijenata sa DM i ACS tokom 1 godine  i kod onih podvrgnutih PCI zbog ACS poželjno bi se trebali dati prasugrel ili tikagrelor. </w:t>
            </w:r>
          </w:p>
        </w:tc>
        <w:tc>
          <w:tcPr>
            <w:tcW w:w="851" w:type="dxa"/>
            <w:vAlign w:val="center"/>
          </w:tcPr>
          <w:p w:rsidR="00827F48" w:rsidRPr="00827F48" w:rsidRDefault="00827F48" w:rsidP="004373B5">
            <w:pPr>
              <w:jc w:val="center"/>
              <w:rPr>
                <w:rFonts w:cs="Arial"/>
              </w:rPr>
            </w:pPr>
            <w:r w:rsidRPr="00827F48">
              <w:rPr>
                <w:rFonts w:cs="Arial"/>
              </w:rPr>
              <w:t>I</w:t>
            </w:r>
          </w:p>
        </w:tc>
        <w:tc>
          <w:tcPr>
            <w:tcW w:w="850" w:type="dxa"/>
            <w:vAlign w:val="center"/>
          </w:tcPr>
          <w:p w:rsidR="00827F48" w:rsidRPr="00827F48" w:rsidRDefault="00827F48" w:rsidP="004373B5">
            <w:pPr>
              <w:jc w:val="center"/>
              <w:rPr>
                <w:rFonts w:cs="Arial"/>
              </w:rPr>
            </w:pPr>
            <w:r w:rsidRPr="00827F48">
              <w:rPr>
                <w:rFonts w:cs="Arial"/>
              </w:rPr>
              <w:t>A</w:t>
            </w:r>
          </w:p>
        </w:tc>
        <w:tc>
          <w:tcPr>
            <w:tcW w:w="963" w:type="dxa"/>
            <w:vAlign w:val="center"/>
          </w:tcPr>
          <w:p w:rsidR="00827F48" w:rsidRPr="00827F48" w:rsidRDefault="00827F48" w:rsidP="004373B5">
            <w:pPr>
              <w:jc w:val="center"/>
              <w:rPr>
                <w:rFonts w:cs="Arial"/>
              </w:rPr>
            </w:pPr>
            <w:r w:rsidRPr="00827F48">
              <w:rPr>
                <w:rFonts w:cs="Arial"/>
              </w:rPr>
              <w:t>188,189. 192, 194, 196</w:t>
            </w:r>
          </w:p>
        </w:tc>
      </w:tr>
      <w:tr w:rsidR="00827F48" w:rsidRPr="00827F48" w:rsidTr="004373B5">
        <w:tc>
          <w:tcPr>
            <w:tcW w:w="6912" w:type="dxa"/>
            <w:tcBorders>
              <w:bottom w:val="single" w:sz="4" w:space="0" w:color="auto"/>
            </w:tcBorders>
          </w:tcPr>
          <w:p w:rsidR="00827F48" w:rsidRPr="00827F48" w:rsidRDefault="00827F48" w:rsidP="004373B5">
            <w:pPr>
              <w:rPr>
                <w:rFonts w:cs="Arial"/>
              </w:rPr>
            </w:pPr>
            <w:r w:rsidRPr="00827F48">
              <w:rPr>
                <w:rFonts w:cs="Arial"/>
              </w:rPr>
              <w:t>Klopidogrel se preporučuje kao alteantivna antiagregaciona terapija u slučaju intolerancije na aspirin.</w:t>
            </w:r>
          </w:p>
        </w:tc>
        <w:tc>
          <w:tcPr>
            <w:tcW w:w="851" w:type="dxa"/>
            <w:tcBorders>
              <w:bottom w:val="single" w:sz="4" w:space="0" w:color="auto"/>
            </w:tcBorders>
            <w:vAlign w:val="center"/>
          </w:tcPr>
          <w:p w:rsidR="00827F48" w:rsidRPr="00827F48" w:rsidRDefault="00827F48" w:rsidP="004373B5">
            <w:pPr>
              <w:jc w:val="center"/>
              <w:rPr>
                <w:rFonts w:cs="Arial"/>
              </w:rPr>
            </w:pPr>
            <w:r w:rsidRPr="00827F48">
              <w:rPr>
                <w:rFonts w:cs="Arial"/>
              </w:rPr>
              <w:t>I</w:t>
            </w:r>
          </w:p>
        </w:tc>
        <w:tc>
          <w:tcPr>
            <w:tcW w:w="850" w:type="dxa"/>
            <w:tcBorders>
              <w:bottom w:val="single" w:sz="4" w:space="0" w:color="auto"/>
            </w:tcBorders>
            <w:vAlign w:val="center"/>
          </w:tcPr>
          <w:p w:rsidR="00827F48" w:rsidRPr="00827F48" w:rsidRDefault="00827F48" w:rsidP="004373B5">
            <w:pPr>
              <w:jc w:val="center"/>
              <w:rPr>
                <w:rFonts w:cs="Arial"/>
              </w:rPr>
            </w:pPr>
            <w:r w:rsidRPr="00827F48">
              <w:rPr>
                <w:rFonts w:cs="Arial"/>
              </w:rPr>
              <w:t>B</w:t>
            </w:r>
          </w:p>
        </w:tc>
        <w:tc>
          <w:tcPr>
            <w:tcW w:w="963" w:type="dxa"/>
            <w:tcBorders>
              <w:bottom w:val="single" w:sz="4" w:space="0" w:color="auto"/>
            </w:tcBorders>
            <w:vAlign w:val="center"/>
          </w:tcPr>
          <w:p w:rsidR="00827F48" w:rsidRPr="00827F48" w:rsidRDefault="00827F48" w:rsidP="004373B5">
            <w:pPr>
              <w:jc w:val="center"/>
              <w:rPr>
                <w:rFonts w:cs="Arial"/>
              </w:rPr>
            </w:pPr>
            <w:r w:rsidRPr="00827F48">
              <w:rPr>
                <w:rFonts w:cs="Arial"/>
              </w:rPr>
              <w:t>192, 197</w:t>
            </w:r>
          </w:p>
        </w:tc>
      </w:tr>
      <w:tr w:rsidR="00827F48" w:rsidRPr="00827F48" w:rsidTr="004373B5">
        <w:tc>
          <w:tcPr>
            <w:tcW w:w="9576" w:type="dxa"/>
            <w:gridSpan w:val="4"/>
            <w:tcBorders>
              <w:left w:val="nil"/>
              <w:bottom w:val="nil"/>
              <w:right w:val="nil"/>
            </w:tcBorders>
          </w:tcPr>
          <w:p w:rsidR="00827F48" w:rsidRPr="00827F48" w:rsidRDefault="00827F48" w:rsidP="004373B5">
            <w:pPr>
              <w:rPr>
                <w:rFonts w:cs="Arial"/>
              </w:rPr>
            </w:pPr>
            <w:r w:rsidRPr="00827F48">
              <w:rPr>
                <w:rFonts w:cs="Arial"/>
              </w:rPr>
              <w:t xml:space="preserve">ACS=  akutni koronarni sindrom; CVD = kardiovaskularna bolest; DM = dijabetes melitus; PCI perkutana koronarana intervencija, </w:t>
            </w:r>
          </w:p>
          <w:p w:rsidR="00827F48" w:rsidRPr="00827F48" w:rsidRDefault="00827F48" w:rsidP="004373B5">
            <w:pPr>
              <w:rPr>
                <w:rFonts w:cs="Arial"/>
              </w:rPr>
            </w:pPr>
            <w:r w:rsidRPr="00827F48">
              <w:rPr>
                <w:rFonts w:cs="Arial"/>
                <w:vertAlign w:val="superscript"/>
              </w:rPr>
              <w:t>A</w:t>
            </w:r>
            <w:r w:rsidRPr="00827F48">
              <w:rPr>
                <w:rFonts w:cs="Arial"/>
              </w:rPr>
              <w:t xml:space="preserve"> Klasa preporuka.</w:t>
            </w:r>
          </w:p>
          <w:p w:rsidR="00827F48" w:rsidRPr="00827F48" w:rsidRDefault="00827F48" w:rsidP="004373B5">
            <w:pPr>
              <w:rPr>
                <w:rFonts w:cs="Arial"/>
              </w:rPr>
            </w:pPr>
            <w:r w:rsidRPr="00827F48">
              <w:rPr>
                <w:rFonts w:cs="Arial"/>
                <w:vertAlign w:val="superscript"/>
              </w:rPr>
              <w:t>B</w:t>
            </w:r>
            <w:r w:rsidRPr="00827F48">
              <w:rPr>
                <w:rFonts w:cs="Arial"/>
              </w:rPr>
              <w:t xml:space="preserve"> Nivo dokaza.</w:t>
            </w:r>
          </w:p>
          <w:p w:rsidR="00827F48" w:rsidRPr="00827F48" w:rsidRDefault="00827F48" w:rsidP="004373B5">
            <w:pPr>
              <w:rPr>
                <w:rFonts w:cs="Arial"/>
              </w:rPr>
            </w:pPr>
            <w:r w:rsidRPr="00827F48">
              <w:rPr>
                <w:rFonts w:cs="Arial"/>
                <w:vertAlign w:val="superscript"/>
              </w:rPr>
              <w:t>C</w:t>
            </w:r>
            <w:r w:rsidRPr="00827F48">
              <w:rPr>
                <w:rFonts w:cs="Arial"/>
              </w:rPr>
              <w:t xml:space="preserve"> Reference koje podržavaju dokaze.</w:t>
            </w:r>
          </w:p>
        </w:tc>
      </w:tr>
    </w:tbl>
    <w:p w:rsidR="00827F48" w:rsidRPr="00827F48" w:rsidRDefault="00827F48" w:rsidP="00827F48">
      <w:pPr>
        <w:rPr>
          <w:rFonts w:cs="Times New Roman"/>
        </w:rPr>
      </w:pPr>
    </w:p>
    <w:p w:rsidR="00827F48" w:rsidRPr="00827F48" w:rsidRDefault="00827F48" w:rsidP="00827F48">
      <w:pPr>
        <w:rPr>
          <w:rFonts w:cs="Times New Roman"/>
          <w:b/>
        </w:rPr>
      </w:pPr>
      <w:r w:rsidRPr="00827F48">
        <w:rPr>
          <w:rFonts w:cs="Times New Roman"/>
          <w:b/>
        </w:rPr>
        <w:t xml:space="preserve">4.6 Multifaktorijalni pristup </w:t>
      </w:r>
    </w:p>
    <w:p w:rsidR="00827F48" w:rsidRPr="00827F48" w:rsidRDefault="00827F48" w:rsidP="00827F48">
      <w:pPr>
        <w:rPr>
          <w:rFonts w:cs="Times New Roman"/>
        </w:rPr>
      </w:pPr>
      <w:r w:rsidRPr="00827F48">
        <w:rPr>
          <w:rFonts w:cs="Times New Roman"/>
        </w:rPr>
        <w:t>Pacijentima sa poremećajem glukoze potrebna je rana procjena (i) riziko faktora (npr. životnih navika, uključujući pušenje, hipertenziju, i dislipidemiju): (ii) mikro-i makrovaskularnu bolest i autonomnu disfunkciju; (iii) komorbiditete (npr. srčana slabost i aritmije); (iv) prouzrokovana ishemija pomoću testa opterećena, stres ehokardiografija, ili scintigrafija miokarda i (v) miokarda vijabilnost i funkcija LV procjenjena pomoću eho-Dopplera i/ili magnetne rezonance.</w:t>
      </w:r>
      <w:r w:rsidRPr="00827F48">
        <w:rPr>
          <w:rFonts w:cs="Times New Roman"/>
          <w:vertAlign w:val="superscript"/>
        </w:rPr>
        <w:t>198</w:t>
      </w:r>
      <w:r w:rsidRPr="00827F48">
        <w:rPr>
          <w:rFonts w:cs="Times New Roman"/>
        </w:rPr>
        <w:t xml:space="preserve"> Nivo pouzdanosti testa opterećenja, stres ehokardiografije, ili miokardne scintigrafije je od posebnog značaj u detekciji ishemije u DM. Usputno mogu postojati visok prag bola zbog autonomne nervne disfunkcije, </w:t>
      </w:r>
      <w:r w:rsidRPr="00827F48">
        <w:rPr>
          <w:rFonts w:cs="Times New Roman"/>
        </w:rPr>
        <w:lastRenderedPageBreak/>
        <w:t xml:space="preserve">višesudna koronarna bolest, EKG abnormalnosti, koegzistencija PAD i upotreba više lijekova. Liječenje treba da bude ciljano (Tabela 2). </w:t>
      </w:r>
    </w:p>
    <w:p w:rsidR="00827F48" w:rsidRPr="00827F48" w:rsidRDefault="00827F48" w:rsidP="00827F48">
      <w:pPr>
        <w:rPr>
          <w:rFonts w:cs="Times New Roman"/>
          <w:vertAlign w:val="superscript"/>
        </w:rPr>
      </w:pPr>
      <w:r w:rsidRPr="00827F48">
        <w:rPr>
          <w:rFonts w:cs="Times New Roman"/>
        </w:rPr>
        <w:t>Vrijednost multifaktorijalnog tretmana kod pacijenata sa DM i ustanovljenom mikroalbuminurijom je demonstrirana od strane Steno 2 koja, koja je u visoko specijalizovanim uslovima, randomizirala 160 subjekata na one na intezivnoj, ciljanoj multifaktorijalno terapiji i na one  konvencionalno liječene. Cilj u ciljano liječenoj grupi je bio HbA1c &lt;6.5%, ukupni holesterol &lt;4.5 mmol/l (175mg/dl), i krvni pritisak &lt;130/80mm Hg. Svi pacijenti u ovoj grupi su dobili RAAS blokatore i aspirin u maloj dozi. Iako se ciljane vrijednosti nisu uvijek postigle u grupi intezivno liječenih, nihovo liječenje je bio znatno bolje. Ovo je rezultiralo u smanjenju mikrovaskularnih i makrovaskularnih događajima za otprilike 50%  nakon 7.8 godina praćenja. Ciljani nivo holesterola je najefikasnije postignut čineći ulogu statina krucijalnom.</w:t>
      </w:r>
      <w:r w:rsidRPr="00827F48">
        <w:rPr>
          <w:rFonts w:cs="Times New Roman"/>
          <w:vertAlign w:val="superscript"/>
        </w:rPr>
        <w:t>199,200</w:t>
      </w:r>
      <w:r w:rsidRPr="00827F48">
        <w:rPr>
          <w:rFonts w:cs="Times New Roman"/>
        </w:rPr>
        <w:t xml:space="preserve"> Subsekventno, ciljana terapija je preporučena pacijentima u obje grupe, koje su praćene 13 godina. Do tog vremena, pacijenti inicijalno stavljeni u grupu intezivno liječenih su imali redukciju apsolutnog mortalita od 20%  i HR za smrt, u poređenju sa konvencionalnom grupom, je bila 0,54 ( P&lt; 0.02). Apsolutna redukcija u kardiovaskularnim događajima je bila 29%. Dodatno, postojala je značajno smanjenje dijabetične nefropatije i progresije retinopatije.</w:t>
      </w:r>
      <w:r w:rsidRPr="00827F48">
        <w:rPr>
          <w:rFonts w:cs="Times New Roman"/>
          <w:vertAlign w:val="superscript"/>
        </w:rPr>
        <w:t>74</w:t>
      </w:r>
      <w:r w:rsidRPr="00827F48">
        <w:rPr>
          <w:rFonts w:cs="Times New Roman"/>
        </w:rPr>
        <w:t xml:space="preserve"> Zdravstvena ekonomska analiza je izvjestila da je intezivno liječenje više isplativo nego konvencionalno.</w:t>
      </w:r>
      <w:r w:rsidRPr="00827F48">
        <w:rPr>
          <w:rFonts w:cs="Times New Roman"/>
          <w:vertAlign w:val="superscript"/>
        </w:rPr>
        <w:t>201</w:t>
      </w:r>
      <w:r w:rsidRPr="00827F48">
        <w:rPr>
          <w:rFonts w:cs="Times New Roman"/>
        </w:rPr>
        <w:t>Podaci iz Euro Heart Survey on Diabetes and Heart, predlažu multifaktorijalni pristup. Među 1425 pacijenata sa poznatim T2DM i CAD, 44% je dobilo sveobuhvatnu terapiju zasnovanu na dokazima  (kombinacija aspirina, beta blokatora, RAAS inhibitora i statina). Pacijenti sa ovom kombinacijom su imali značajno manju smrtnost od svih uzroka (3.5 vs. 7.7%; P=0.001) i manje kombinovanih kardiovaskularnih događaja (11.6 vs. 14.7%, P = 0.05) nakon jednogodišnjeg praćenja.</w:t>
      </w:r>
      <w:r w:rsidRPr="00827F48">
        <w:rPr>
          <w:rFonts w:cs="Times New Roman"/>
          <w:vertAlign w:val="superscript"/>
        </w:rPr>
        <w:t>202</w:t>
      </w:r>
    </w:p>
    <w:tbl>
      <w:tblPr>
        <w:tblStyle w:val="TableGrid"/>
        <w:tblW w:w="0" w:type="auto"/>
        <w:tblLook w:val="04A0" w:firstRow="1" w:lastRow="0" w:firstColumn="1" w:lastColumn="0" w:noHBand="0" w:noVBand="1"/>
      </w:tblPr>
      <w:tblGrid>
        <w:gridCol w:w="3427"/>
        <w:gridCol w:w="5861"/>
      </w:tblGrid>
      <w:tr w:rsidR="00827F48" w:rsidRPr="00827F48" w:rsidTr="004373B5">
        <w:tc>
          <w:tcPr>
            <w:tcW w:w="9576" w:type="dxa"/>
            <w:gridSpan w:val="2"/>
            <w:tcBorders>
              <w:top w:val="nil"/>
              <w:left w:val="nil"/>
              <w:right w:val="single" w:sz="4" w:space="0" w:color="auto"/>
            </w:tcBorders>
          </w:tcPr>
          <w:p w:rsidR="00827F48" w:rsidRPr="00827F48" w:rsidRDefault="00827F48" w:rsidP="004373B5">
            <w:pPr>
              <w:rPr>
                <w:rFonts w:cs="Arial"/>
              </w:rPr>
            </w:pPr>
            <w:r w:rsidRPr="00827F48">
              <w:rPr>
                <w:rFonts w:cs="Arial"/>
              </w:rPr>
              <w:t>Tabela 2 Sumacija ciljeva za menadžment pacijenata sa dijabetes melitusom ili poremećenom glukoznom tolerancijom i koronarnom arterijskom bolešću</w:t>
            </w:r>
          </w:p>
        </w:tc>
      </w:tr>
      <w:tr w:rsidR="00827F48" w:rsidRPr="00827F48" w:rsidTr="004373B5">
        <w:tc>
          <w:tcPr>
            <w:tcW w:w="3510" w:type="dxa"/>
          </w:tcPr>
          <w:p w:rsidR="00827F48" w:rsidRPr="00827F48" w:rsidRDefault="00827F48" w:rsidP="004373B5">
            <w:pPr>
              <w:rPr>
                <w:rFonts w:cs="Arial"/>
              </w:rPr>
            </w:pPr>
            <w:r w:rsidRPr="00827F48">
              <w:rPr>
                <w:rFonts w:cs="Arial"/>
              </w:rPr>
              <w:t xml:space="preserve">Krvni pritisak (mmHg) U slučaju nefropatije </w:t>
            </w:r>
          </w:p>
        </w:tc>
        <w:tc>
          <w:tcPr>
            <w:tcW w:w="6066" w:type="dxa"/>
          </w:tcPr>
          <w:p w:rsidR="00827F48" w:rsidRPr="00827F48" w:rsidRDefault="00827F48" w:rsidP="004373B5">
            <w:pPr>
              <w:rPr>
                <w:rFonts w:cs="Arial"/>
              </w:rPr>
            </w:pPr>
            <w:r w:rsidRPr="00827F48">
              <w:rPr>
                <w:rFonts w:cs="Arial"/>
              </w:rPr>
              <w:t>&lt;140/85 Sistolni &lt;130</w:t>
            </w:r>
          </w:p>
        </w:tc>
      </w:tr>
      <w:tr w:rsidR="00827F48" w:rsidRPr="00827F48" w:rsidTr="004373B5">
        <w:tc>
          <w:tcPr>
            <w:tcW w:w="3510" w:type="dxa"/>
          </w:tcPr>
          <w:p w:rsidR="00827F48" w:rsidRPr="00827F48" w:rsidRDefault="00827F48" w:rsidP="004373B5">
            <w:pPr>
              <w:rPr>
                <w:rFonts w:cs="Arial"/>
              </w:rPr>
            </w:pPr>
            <w:r w:rsidRPr="00827F48">
              <w:rPr>
                <w:rFonts w:cs="Arial"/>
              </w:rPr>
              <w:t>Glikemična kontrola HbA1c (%)</w:t>
            </w:r>
            <w:r w:rsidRPr="00827F48">
              <w:rPr>
                <w:rFonts w:cs="Arial"/>
                <w:vertAlign w:val="superscript"/>
              </w:rPr>
              <w:t>a</w:t>
            </w:r>
          </w:p>
        </w:tc>
        <w:tc>
          <w:tcPr>
            <w:tcW w:w="6066" w:type="dxa"/>
          </w:tcPr>
          <w:p w:rsidR="00827F48" w:rsidRPr="00827F48" w:rsidRDefault="00827F48" w:rsidP="004373B5">
            <w:pPr>
              <w:rPr>
                <w:rFonts w:cs="Arial"/>
              </w:rPr>
            </w:pPr>
            <w:r w:rsidRPr="00827F48">
              <w:rPr>
                <w:rFonts w:cs="Arial"/>
              </w:rPr>
              <w:t>Generalno &lt; 7.0 (53 mmol/mol) Na individulanoj bazi &lt;6.5-6.9% (48-52 mmol/l)</w:t>
            </w:r>
          </w:p>
        </w:tc>
      </w:tr>
      <w:tr w:rsidR="00827F48" w:rsidRPr="00827F48" w:rsidTr="004373B5">
        <w:tc>
          <w:tcPr>
            <w:tcW w:w="3510" w:type="dxa"/>
          </w:tcPr>
          <w:p w:rsidR="00827F48" w:rsidRPr="00827F48" w:rsidRDefault="00827F48" w:rsidP="004373B5">
            <w:pPr>
              <w:rPr>
                <w:rFonts w:cs="Arial"/>
              </w:rPr>
            </w:pPr>
            <w:r w:rsidRPr="00827F48">
              <w:rPr>
                <w:rFonts w:cs="Arial"/>
              </w:rPr>
              <w:t xml:space="preserve">Lipidni profil mmol/l (mg/dl) LDL.holesterol </w:t>
            </w:r>
          </w:p>
        </w:tc>
        <w:tc>
          <w:tcPr>
            <w:tcW w:w="6066" w:type="dxa"/>
          </w:tcPr>
          <w:p w:rsidR="00827F48" w:rsidRPr="00827F48" w:rsidRDefault="00827F48" w:rsidP="004373B5">
            <w:pPr>
              <w:rPr>
                <w:rFonts w:cs="Arial"/>
              </w:rPr>
            </w:pPr>
            <w:r w:rsidRPr="00827F48">
              <w:rPr>
                <w:rFonts w:cs="Arial"/>
              </w:rPr>
              <w:t xml:space="preserve">Pacijenti sa veoma visokim rizikom &lt;1.8mmol/l (&lt;70mg/dl) ili smanjen za najmanje 50% Visoko rizični pacijenti &lt;2.5 mmol/l (&lt;100 mg/dl) </w:t>
            </w:r>
          </w:p>
        </w:tc>
      </w:tr>
      <w:tr w:rsidR="00827F48" w:rsidRPr="00827F48" w:rsidTr="004373B5">
        <w:tc>
          <w:tcPr>
            <w:tcW w:w="3510" w:type="dxa"/>
          </w:tcPr>
          <w:p w:rsidR="00827F48" w:rsidRPr="00827F48" w:rsidRDefault="00827F48" w:rsidP="004373B5">
            <w:pPr>
              <w:rPr>
                <w:rFonts w:cs="Arial"/>
              </w:rPr>
            </w:pPr>
            <w:r w:rsidRPr="00827F48">
              <w:rPr>
                <w:rFonts w:cs="Arial"/>
              </w:rPr>
              <w:t>Stabilizacija trombocita</w:t>
            </w:r>
          </w:p>
        </w:tc>
        <w:tc>
          <w:tcPr>
            <w:tcW w:w="6066" w:type="dxa"/>
          </w:tcPr>
          <w:p w:rsidR="00827F48" w:rsidRPr="00827F48" w:rsidRDefault="00827F48" w:rsidP="004373B5">
            <w:pPr>
              <w:rPr>
                <w:rFonts w:cs="Arial"/>
              </w:rPr>
            </w:pPr>
            <w:r w:rsidRPr="00827F48">
              <w:rPr>
                <w:rFonts w:cs="Arial"/>
              </w:rPr>
              <w:t>Pacijenti sa CVD i DM ASA 75-160 mg/dan</w:t>
            </w:r>
          </w:p>
        </w:tc>
      </w:tr>
      <w:tr w:rsidR="00827F48" w:rsidRPr="00827F48" w:rsidTr="004373B5">
        <w:tc>
          <w:tcPr>
            <w:tcW w:w="3510" w:type="dxa"/>
          </w:tcPr>
          <w:p w:rsidR="00827F48" w:rsidRPr="00827F48" w:rsidRDefault="00827F48" w:rsidP="004373B5">
            <w:pPr>
              <w:rPr>
                <w:rFonts w:cs="Arial"/>
              </w:rPr>
            </w:pPr>
            <w:r w:rsidRPr="00827F48">
              <w:rPr>
                <w:rFonts w:cs="Arial"/>
              </w:rPr>
              <w:t xml:space="preserve">Pušenje </w:t>
            </w:r>
          </w:p>
        </w:tc>
        <w:tc>
          <w:tcPr>
            <w:tcW w:w="6066" w:type="dxa"/>
          </w:tcPr>
          <w:p w:rsidR="00827F48" w:rsidRPr="00827F48" w:rsidRDefault="00827F48" w:rsidP="004373B5">
            <w:pPr>
              <w:rPr>
                <w:rFonts w:cs="Arial"/>
              </w:rPr>
            </w:pPr>
            <w:r w:rsidRPr="00827F48">
              <w:rPr>
                <w:rFonts w:cs="Arial"/>
              </w:rPr>
              <w:t>Prestanak pušenja obavezan; izbjegavati pasivno pušenje</w:t>
            </w:r>
          </w:p>
        </w:tc>
      </w:tr>
      <w:tr w:rsidR="00827F48" w:rsidRPr="00827F48" w:rsidTr="004373B5">
        <w:tc>
          <w:tcPr>
            <w:tcW w:w="3510" w:type="dxa"/>
          </w:tcPr>
          <w:p w:rsidR="00827F48" w:rsidRPr="00827F48" w:rsidRDefault="00827F48" w:rsidP="004373B5">
            <w:pPr>
              <w:rPr>
                <w:rFonts w:cs="Arial"/>
              </w:rPr>
            </w:pPr>
            <w:r w:rsidRPr="00827F48">
              <w:rPr>
                <w:rFonts w:cs="Arial"/>
              </w:rPr>
              <w:t>Fizička aktivnost</w:t>
            </w:r>
          </w:p>
        </w:tc>
        <w:tc>
          <w:tcPr>
            <w:tcW w:w="6066" w:type="dxa"/>
          </w:tcPr>
          <w:p w:rsidR="00827F48" w:rsidRPr="00827F48" w:rsidRDefault="00827F48" w:rsidP="004373B5">
            <w:pPr>
              <w:rPr>
                <w:rFonts w:cs="Arial"/>
              </w:rPr>
            </w:pPr>
            <w:r w:rsidRPr="00827F48">
              <w:rPr>
                <w:rFonts w:cs="Arial"/>
              </w:rPr>
              <w:t>Umjerena do izražene ≥150 min/sedmično</w:t>
            </w:r>
          </w:p>
        </w:tc>
      </w:tr>
      <w:tr w:rsidR="00827F48" w:rsidRPr="00827F48" w:rsidTr="004373B5">
        <w:tc>
          <w:tcPr>
            <w:tcW w:w="3510" w:type="dxa"/>
          </w:tcPr>
          <w:p w:rsidR="00827F48" w:rsidRPr="00827F48" w:rsidRDefault="00827F48" w:rsidP="004373B5">
            <w:pPr>
              <w:rPr>
                <w:rFonts w:cs="Arial"/>
              </w:rPr>
            </w:pPr>
            <w:r w:rsidRPr="00827F48">
              <w:rPr>
                <w:rFonts w:cs="Arial"/>
              </w:rPr>
              <w:t>Težina</w:t>
            </w:r>
          </w:p>
        </w:tc>
        <w:tc>
          <w:tcPr>
            <w:tcW w:w="6066" w:type="dxa"/>
          </w:tcPr>
          <w:p w:rsidR="00827F48" w:rsidRPr="00827F48" w:rsidRDefault="00827F48" w:rsidP="004373B5">
            <w:pPr>
              <w:rPr>
                <w:rFonts w:cs="Arial"/>
              </w:rPr>
            </w:pPr>
            <w:r w:rsidRPr="00827F48">
              <w:rPr>
                <w:rFonts w:cs="Arial"/>
              </w:rPr>
              <w:t>Ciljati stabilizaciju težine kod prekomjero teških i gojaznih pacijenata sa DM na osnovu balansa kalorija, i redukciji tjelsne težine kod pojedinaca sa IGT kako bi se prevenirao razvoj T2DM</w:t>
            </w:r>
          </w:p>
        </w:tc>
      </w:tr>
      <w:tr w:rsidR="00827F48" w:rsidRPr="00827F48" w:rsidTr="004373B5">
        <w:tc>
          <w:tcPr>
            <w:tcW w:w="3510" w:type="dxa"/>
            <w:tcBorders>
              <w:bottom w:val="single" w:sz="4" w:space="0" w:color="auto"/>
            </w:tcBorders>
          </w:tcPr>
          <w:p w:rsidR="00827F48" w:rsidRPr="00827F48" w:rsidRDefault="00827F48" w:rsidP="004373B5">
            <w:pPr>
              <w:rPr>
                <w:rFonts w:cs="Arial"/>
              </w:rPr>
            </w:pPr>
            <w:r w:rsidRPr="00827F48">
              <w:rPr>
                <w:rFonts w:cs="Arial"/>
              </w:rPr>
              <w:t xml:space="preserve">Navike u ishrani </w:t>
            </w:r>
          </w:p>
          <w:p w:rsidR="00827F48" w:rsidRPr="00827F48" w:rsidRDefault="00827F48" w:rsidP="004373B5">
            <w:pPr>
              <w:rPr>
                <w:rFonts w:cs="Arial"/>
              </w:rPr>
            </w:pPr>
            <w:r w:rsidRPr="00827F48">
              <w:rPr>
                <w:rFonts w:cs="Arial"/>
              </w:rPr>
              <w:t>Unos masti (% prcenat unosa)</w:t>
            </w:r>
          </w:p>
          <w:p w:rsidR="00827F48" w:rsidRPr="00827F48" w:rsidRDefault="00827F48" w:rsidP="004373B5">
            <w:pPr>
              <w:rPr>
                <w:rFonts w:cs="Arial"/>
              </w:rPr>
            </w:pPr>
            <w:r w:rsidRPr="00827F48">
              <w:rPr>
                <w:rFonts w:cs="Arial"/>
              </w:rPr>
              <w:t>Ukupno</w:t>
            </w:r>
          </w:p>
          <w:p w:rsidR="00827F48" w:rsidRPr="00827F48" w:rsidRDefault="00827F48" w:rsidP="004373B5">
            <w:pPr>
              <w:rPr>
                <w:rFonts w:cs="Arial"/>
              </w:rPr>
            </w:pPr>
            <w:r w:rsidRPr="00827F48">
              <w:rPr>
                <w:rFonts w:cs="Arial"/>
              </w:rPr>
              <w:t xml:space="preserve">Saturisane </w:t>
            </w:r>
          </w:p>
          <w:p w:rsidR="00827F48" w:rsidRPr="00827F48" w:rsidRDefault="00827F48" w:rsidP="004373B5">
            <w:pPr>
              <w:rPr>
                <w:rFonts w:cs="Arial"/>
              </w:rPr>
            </w:pPr>
            <w:r w:rsidRPr="00827F48">
              <w:rPr>
                <w:rFonts w:cs="Arial"/>
              </w:rPr>
              <w:t>Monosaturisane masne kiseline</w:t>
            </w:r>
          </w:p>
          <w:p w:rsidR="00827F48" w:rsidRPr="00827F48" w:rsidRDefault="00827F48" w:rsidP="004373B5">
            <w:pPr>
              <w:rPr>
                <w:rFonts w:cs="Arial"/>
              </w:rPr>
            </w:pPr>
            <w:r w:rsidRPr="00827F48">
              <w:rPr>
                <w:rFonts w:cs="Arial"/>
              </w:rPr>
              <w:t>Unos vlakana</w:t>
            </w:r>
          </w:p>
        </w:tc>
        <w:tc>
          <w:tcPr>
            <w:tcW w:w="6066" w:type="dxa"/>
            <w:tcBorders>
              <w:bottom w:val="single" w:sz="4" w:space="0" w:color="auto"/>
            </w:tcBorders>
          </w:tcPr>
          <w:p w:rsidR="00827F48" w:rsidRPr="00827F48" w:rsidRDefault="00827F48" w:rsidP="004373B5">
            <w:pPr>
              <w:rPr>
                <w:rFonts w:cs="Arial"/>
              </w:rPr>
            </w:pPr>
          </w:p>
          <w:p w:rsidR="00827F48" w:rsidRPr="00827F48" w:rsidRDefault="00827F48" w:rsidP="004373B5">
            <w:pPr>
              <w:rPr>
                <w:rFonts w:cs="Arial"/>
              </w:rPr>
            </w:pPr>
          </w:p>
          <w:p w:rsidR="00827F48" w:rsidRPr="00827F48" w:rsidRDefault="00827F48" w:rsidP="004373B5">
            <w:pPr>
              <w:rPr>
                <w:rFonts w:cs="Arial"/>
              </w:rPr>
            </w:pPr>
            <w:r w:rsidRPr="00827F48">
              <w:rPr>
                <w:rFonts w:cs="Arial"/>
              </w:rPr>
              <w:t>&lt;35%</w:t>
            </w:r>
          </w:p>
          <w:p w:rsidR="00827F48" w:rsidRPr="00827F48" w:rsidRDefault="00827F48" w:rsidP="004373B5">
            <w:pPr>
              <w:rPr>
                <w:rFonts w:cs="Arial"/>
              </w:rPr>
            </w:pPr>
            <w:r w:rsidRPr="00827F48">
              <w:rPr>
                <w:rFonts w:cs="Arial"/>
              </w:rPr>
              <w:t>&lt;10%</w:t>
            </w:r>
          </w:p>
          <w:p w:rsidR="00827F48" w:rsidRPr="00827F48" w:rsidRDefault="00827F48" w:rsidP="004373B5">
            <w:pPr>
              <w:rPr>
                <w:rFonts w:cs="Arial"/>
              </w:rPr>
            </w:pPr>
            <w:r w:rsidRPr="00827F48">
              <w:rPr>
                <w:rFonts w:cs="Arial"/>
              </w:rPr>
              <w:t>&gt;10%</w:t>
            </w:r>
          </w:p>
          <w:p w:rsidR="00827F48" w:rsidRPr="00827F48" w:rsidRDefault="00827F48" w:rsidP="004373B5">
            <w:pPr>
              <w:rPr>
                <w:rFonts w:cs="Arial"/>
              </w:rPr>
            </w:pPr>
            <w:r w:rsidRPr="00827F48">
              <w:rPr>
                <w:rFonts w:cs="Arial"/>
              </w:rPr>
              <w:t>&gt;40g/dan (ili 20g/1000 Kcal/dan)</w:t>
            </w:r>
          </w:p>
        </w:tc>
      </w:tr>
      <w:tr w:rsidR="00827F48" w:rsidRPr="00827F48" w:rsidTr="004373B5">
        <w:tc>
          <w:tcPr>
            <w:tcW w:w="9576" w:type="dxa"/>
            <w:gridSpan w:val="2"/>
            <w:tcBorders>
              <w:left w:val="nil"/>
              <w:bottom w:val="nil"/>
              <w:right w:val="nil"/>
            </w:tcBorders>
          </w:tcPr>
          <w:p w:rsidR="00827F48" w:rsidRPr="00827F48" w:rsidRDefault="00827F48" w:rsidP="004373B5">
            <w:pPr>
              <w:rPr>
                <w:rFonts w:cs="Arial"/>
              </w:rPr>
            </w:pPr>
            <w:r w:rsidRPr="00827F48">
              <w:rPr>
                <w:rFonts w:cs="Arial"/>
              </w:rPr>
              <w:t xml:space="preserve">CVD= kardiovaskularna bolest; DM= dijabetes melitus; HbA1c= glikozilirani hemoglobin; IGT = oštećena tolerancija glukoze; LDL= lipoproteini niske gustine; T2DM= dijabetes melitus tip 2; </w:t>
            </w:r>
          </w:p>
          <w:p w:rsidR="00827F48" w:rsidRPr="00827F48" w:rsidRDefault="00827F48" w:rsidP="004373B5">
            <w:pPr>
              <w:rPr>
                <w:rFonts w:cs="Arial"/>
              </w:rPr>
            </w:pPr>
            <w:r w:rsidRPr="00827F48">
              <w:rPr>
                <w:rFonts w:cs="Arial"/>
                <w:vertAlign w:val="superscript"/>
              </w:rPr>
              <w:t>a</w:t>
            </w:r>
            <w:r w:rsidRPr="00827F48">
              <w:rPr>
                <w:rFonts w:cs="Arial"/>
              </w:rPr>
              <w:t xml:space="preserve"> Diabtes Control and Complication Trial standard.</w:t>
            </w:r>
          </w:p>
        </w:tc>
      </w:tr>
    </w:tbl>
    <w:p w:rsidR="00827F48" w:rsidRPr="00827F48" w:rsidRDefault="00827F48" w:rsidP="00827F48">
      <w:pPr>
        <w:rPr>
          <w:rFonts w:cs="Times New Roman"/>
        </w:rPr>
      </w:pPr>
    </w:p>
    <w:tbl>
      <w:tblPr>
        <w:tblStyle w:val="TableGrid"/>
        <w:tblW w:w="0" w:type="auto"/>
        <w:tblLook w:val="04A0" w:firstRow="1" w:lastRow="0" w:firstColumn="1" w:lastColumn="0" w:noHBand="0" w:noVBand="1"/>
      </w:tblPr>
      <w:tblGrid>
        <w:gridCol w:w="6855"/>
        <w:gridCol w:w="765"/>
        <w:gridCol w:w="713"/>
        <w:gridCol w:w="955"/>
      </w:tblGrid>
      <w:tr w:rsidR="00827F48" w:rsidRPr="00827F48" w:rsidTr="004373B5">
        <w:tc>
          <w:tcPr>
            <w:tcW w:w="9576" w:type="dxa"/>
            <w:gridSpan w:val="4"/>
            <w:tcBorders>
              <w:top w:val="nil"/>
              <w:left w:val="nil"/>
              <w:right w:val="nil"/>
            </w:tcBorders>
          </w:tcPr>
          <w:p w:rsidR="00827F48" w:rsidRPr="00827F48" w:rsidRDefault="00827F48" w:rsidP="004373B5">
            <w:pPr>
              <w:rPr>
                <w:rFonts w:cs="Arial"/>
              </w:rPr>
            </w:pPr>
            <w:r w:rsidRPr="00827F48">
              <w:rPr>
                <w:rFonts w:cs="Arial"/>
              </w:rPr>
              <w:lastRenderedPageBreak/>
              <w:t>Preporuke za multifaktorijalni menadžment faktora rizika</w:t>
            </w:r>
          </w:p>
        </w:tc>
      </w:tr>
      <w:tr w:rsidR="00827F48" w:rsidRPr="00827F48" w:rsidTr="004373B5">
        <w:tc>
          <w:tcPr>
            <w:tcW w:w="9576" w:type="dxa"/>
            <w:gridSpan w:val="4"/>
          </w:tcPr>
          <w:p w:rsidR="00827F48" w:rsidRPr="00827F48" w:rsidRDefault="00827F48" w:rsidP="004373B5">
            <w:pPr>
              <w:rPr>
                <w:rFonts w:cs="Arial"/>
              </w:rPr>
            </w:pPr>
            <w:r w:rsidRPr="00827F48">
              <w:rPr>
                <w:rFonts w:cs="Arial"/>
              </w:rPr>
              <w:t>Muktifaktorijalni menadžment faktora rizika</w:t>
            </w:r>
          </w:p>
        </w:tc>
      </w:tr>
      <w:tr w:rsidR="00827F48" w:rsidRPr="00827F48" w:rsidTr="004373B5">
        <w:tc>
          <w:tcPr>
            <w:tcW w:w="7196" w:type="dxa"/>
          </w:tcPr>
          <w:p w:rsidR="00827F48" w:rsidRPr="00827F48" w:rsidRDefault="00827F48" w:rsidP="004373B5">
            <w:pPr>
              <w:rPr>
                <w:rFonts w:cs="Arial"/>
                <w:b/>
              </w:rPr>
            </w:pPr>
            <w:r w:rsidRPr="00827F48">
              <w:rPr>
                <w:rFonts w:cs="Arial"/>
                <w:b/>
              </w:rPr>
              <w:t xml:space="preserve">Preporuke </w:t>
            </w:r>
          </w:p>
        </w:tc>
        <w:tc>
          <w:tcPr>
            <w:tcW w:w="709" w:type="dxa"/>
          </w:tcPr>
          <w:p w:rsidR="00827F48" w:rsidRPr="00827F48" w:rsidRDefault="00827F48" w:rsidP="004373B5">
            <w:pPr>
              <w:rPr>
                <w:rFonts w:cs="Arial"/>
                <w:b/>
              </w:rPr>
            </w:pPr>
            <w:r w:rsidRPr="00827F48">
              <w:rPr>
                <w:rFonts w:cs="Arial"/>
                <w:b/>
              </w:rPr>
              <w:t>Klasa</w:t>
            </w:r>
            <w:r w:rsidRPr="00827F48">
              <w:rPr>
                <w:rFonts w:cs="Arial"/>
                <w:b/>
                <w:vertAlign w:val="superscript"/>
              </w:rPr>
              <w:t>a</w:t>
            </w:r>
          </w:p>
        </w:tc>
        <w:tc>
          <w:tcPr>
            <w:tcW w:w="708" w:type="dxa"/>
          </w:tcPr>
          <w:p w:rsidR="00827F48" w:rsidRPr="00827F48" w:rsidRDefault="00827F48" w:rsidP="004373B5">
            <w:pPr>
              <w:rPr>
                <w:rFonts w:cs="Arial"/>
                <w:b/>
              </w:rPr>
            </w:pPr>
            <w:r w:rsidRPr="00827F48">
              <w:rPr>
                <w:rFonts w:cs="Arial"/>
                <w:b/>
              </w:rPr>
              <w:t>Nivo</w:t>
            </w:r>
            <w:r w:rsidRPr="00827F48">
              <w:rPr>
                <w:rFonts w:cs="Arial"/>
                <w:b/>
                <w:vertAlign w:val="superscript"/>
              </w:rPr>
              <w:t>b</w:t>
            </w:r>
          </w:p>
        </w:tc>
        <w:tc>
          <w:tcPr>
            <w:tcW w:w="963" w:type="dxa"/>
          </w:tcPr>
          <w:p w:rsidR="00827F48" w:rsidRPr="00827F48" w:rsidRDefault="00827F48" w:rsidP="004373B5">
            <w:pPr>
              <w:rPr>
                <w:rFonts w:cs="Arial"/>
                <w:b/>
              </w:rPr>
            </w:pPr>
            <w:r w:rsidRPr="00827F48">
              <w:rPr>
                <w:rFonts w:cs="Arial"/>
                <w:b/>
              </w:rPr>
              <w:t>Ref.</w:t>
            </w:r>
            <w:r w:rsidRPr="00827F48">
              <w:rPr>
                <w:rFonts w:cs="Arial"/>
                <w:b/>
                <w:vertAlign w:val="superscript"/>
              </w:rPr>
              <w:t>c</w:t>
            </w:r>
          </w:p>
        </w:tc>
      </w:tr>
      <w:tr w:rsidR="00827F48" w:rsidRPr="00827F48" w:rsidTr="004373B5">
        <w:tc>
          <w:tcPr>
            <w:tcW w:w="7196" w:type="dxa"/>
          </w:tcPr>
          <w:p w:rsidR="00827F48" w:rsidRPr="00827F48" w:rsidRDefault="00827F48" w:rsidP="004373B5">
            <w:pPr>
              <w:rPr>
                <w:rFonts w:cs="Arial"/>
              </w:rPr>
            </w:pPr>
            <w:r w:rsidRPr="00827F48">
              <w:rPr>
                <w:rFonts w:cs="Arial"/>
              </w:rPr>
              <w:t xml:space="preserve">Trebala bi se razmotriti stratifikacija rizika kao dio evaluacije pacijenta sa DM i IGT </w:t>
            </w:r>
          </w:p>
        </w:tc>
        <w:tc>
          <w:tcPr>
            <w:tcW w:w="709" w:type="dxa"/>
            <w:vAlign w:val="center"/>
          </w:tcPr>
          <w:p w:rsidR="00827F48" w:rsidRPr="00827F48" w:rsidRDefault="00827F48" w:rsidP="004373B5">
            <w:pPr>
              <w:jc w:val="center"/>
              <w:rPr>
                <w:rFonts w:cs="Arial"/>
              </w:rPr>
            </w:pPr>
            <w:r w:rsidRPr="00827F48">
              <w:rPr>
                <w:rFonts w:cs="Arial"/>
              </w:rPr>
              <w:t>IIa</w:t>
            </w:r>
          </w:p>
        </w:tc>
        <w:tc>
          <w:tcPr>
            <w:tcW w:w="708" w:type="dxa"/>
            <w:vAlign w:val="center"/>
          </w:tcPr>
          <w:p w:rsidR="00827F48" w:rsidRPr="00827F48" w:rsidRDefault="00827F48" w:rsidP="004373B5">
            <w:pPr>
              <w:jc w:val="center"/>
              <w:rPr>
                <w:rFonts w:cs="Arial"/>
              </w:rPr>
            </w:pPr>
            <w:r w:rsidRPr="00827F48">
              <w:rPr>
                <w:rFonts w:cs="Arial"/>
              </w:rPr>
              <w:t>C</w:t>
            </w:r>
          </w:p>
        </w:tc>
        <w:tc>
          <w:tcPr>
            <w:tcW w:w="963" w:type="dxa"/>
            <w:vAlign w:val="center"/>
          </w:tcPr>
          <w:p w:rsidR="00827F48" w:rsidRPr="00827F48" w:rsidRDefault="00827F48" w:rsidP="004373B5">
            <w:pPr>
              <w:jc w:val="center"/>
              <w:rPr>
                <w:rFonts w:cs="Arial"/>
              </w:rPr>
            </w:pPr>
            <w:r w:rsidRPr="00827F48">
              <w:rPr>
                <w:rFonts w:cs="Arial"/>
              </w:rPr>
              <w:t>-</w:t>
            </w:r>
          </w:p>
        </w:tc>
      </w:tr>
      <w:tr w:rsidR="00827F48" w:rsidRPr="00827F48" w:rsidTr="004373B5">
        <w:tc>
          <w:tcPr>
            <w:tcW w:w="7196" w:type="dxa"/>
          </w:tcPr>
          <w:p w:rsidR="00827F48" w:rsidRPr="00827F48" w:rsidRDefault="00827F48" w:rsidP="004373B5">
            <w:pPr>
              <w:rPr>
                <w:rFonts w:cs="Arial"/>
              </w:rPr>
            </w:pPr>
            <w:r w:rsidRPr="00827F48">
              <w:rPr>
                <w:rFonts w:cs="Arial"/>
              </w:rPr>
              <w:t xml:space="preserve">Kardiovaskularna procjena rizika se preporučuje kod ljudi sa DM i IGT kao baza za multifaktorijalni menadžment </w:t>
            </w:r>
          </w:p>
        </w:tc>
        <w:tc>
          <w:tcPr>
            <w:tcW w:w="709" w:type="dxa"/>
            <w:vAlign w:val="center"/>
          </w:tcPr>
          <w:p w:rsidR="00827F48" w:rsidRPr="00827F48" w:rsidRDefault="00827F48" w:rsidP="004373B5">
            <w:pPr>
              <w:jc w:val="center"/>
              <w:rPr>
                <w:rFonts w:cs="Arial"/>
              </w:rPr>
            </w:pPr>
            <w:r w:rsidRPr="00827F48">
              <w:rPr>
                <w:rFonts w:cs="Arial"/>
              </w:rPr>
              <w:t>I</w:t>
            </w:r>
          </w:p>
        </w:tc>
        <w:tc>
          <w:tcPr>
            <w:tcW w:w="708" w:type="dxa"/>
            <w:vAlign w:val="center"/>
          </w:tcPr>
          <w:p w:rsidR="00827F48" w:rsidRPr="00827F48" w:rsidRDefault="00827F48" w:rsidP="004373B5">
            <w:pPr>
              <w:jc w:val="center"/>
              <w:rPr>
                <w:rFonts w:cs="Arial"/>
              </w:rPr>
            </w:pPr>
            <w:r w:rsidRPr="00827F48">
              <w:rPr>
                <w:rFonts w:cs="Arial"/>
              </w:rPr>
              <w:t>B</w:t>
            </w:r>
          </w:p>
        </w:tc>
        <w:tc>
          <w:tcPr>
            <w:tcW w:w="963" w:type="dxa"/>
            <w:vAlign w:val="center"/>
          </w:tcPr>
          <w:p w:rsidR="00827F48" w:rsidRPr="00827F48" w:rsidRDefault="00827F48" w:rsidP="004373B5">
            <w:pPr>
              <w:jc w:val="center"/>
              <w:rPr>
                <w:rFonts w:cs="Arial"/>
              </w:rPr>
            </w:pPr>
            <w:r w:rsidRPr="00827F48">
              <w:rPr>
                <w:rFonts w:cs="Arial"/>
              </w:rPr>
              <w:t>74,202</w:t>
            </w:r>
          </w:p>
        </w:tc>
      </w:tr>
      <w:tr w:rsidR="00827F48" w:rsidRPr="00827F48" w:rsidTr="004373B5">
        <w:tc>
          <w:tcPr>
            <w:tcW w:w="7196" w:type="dxa"/>
          </w:tcPr>
          <w:p w:rsidR="00827F48" w:rsidRPr="00827F48" w:rsidRDefault="00827F48" w:rsidP="004373B5">
            <w:pPr>
              <w:rPr>
                <w:rFonts w:cs="Arial"/>
              </w:rPr>
            </w:pPr>
            <w:r w:rsidRPr="00827F48">
              <w:rPr>
                <w:rFonts w:cs="Arial"/>
              </w:rPr>
              <w:t xml:space="preserve">Ciljevi terapije, kako su oni izlistani u Tabeli 2, trebali bi se razmotriti kod pacijenata sa DM i IGT i sa CVD. </w:t>
            </w:r>
          </w:p>
        </w:tc>
        <w:tc>
          <w:tcPr>
            <w:tcW w:w="709" w:type="dxa"/>
            <w:vAlign w:val="center"/>
          </w:tcPr>
          <w:p w:rsidR="00827F48" w:rsidRPr="00827F48" w:rsidRDefault="00827F48" w:rsidP="004373B5">
            <w:pPr>
              <w:jc w:val="center"/>
              <w:rPr>
                <w:rFonts w:cs="Arial"/>
              </w:rPr>
            </w:pPr>
            <w:r w:rsidRPr="00827F48">
              <w:rPr>
                <w:rFonts w:cs="Arial"/>
              </w:rPr>
              <w:t>IIa</w:t>
            </w:r>
          </w:p>
        </w:tc>
        <w:tc>
          <w:tcPr>
            <w:tcW w:w="708" w:type="dxa"/>
            <w:vAlign w:val="center"/>
          </w:tcPr>
          <w:p w:rsidR="00827F48" w:rsidRPr="00827F48" w:rsidRDefault="00827F48" w:rsidP="004373B5">
            <w:pPr>
              <w:jc w:val="center"/>
              <w:rPr>
                <w:rFonts w:cs="Arial"/>
              </w:rPr>
            </w:pPr>
            <w:r w:rsidRPr="00827F48">
              <w:rPr>
                <w:rFonts w:cs="Arial"/>
              </w:rPr>
              <w:t>B</w:t>
            </w:r>
          </w:p>
        </w:tc>
        <w:tc>
          <w:tcPr>
            <w:tcW w:w="963" w:type="dxa"/>
            <w:vAlign w:val="center"/>
          </w:tcPr>
          <w:p w:rsidR="00827F48" w:rsidRPr="00827F48" w:rsidRDefault="00827F48" w:rsidP="004373B5">
            <w:pPr>
              <w:jc w:val="center"/>
              <w:rPr>
                <w:rFonts w:cs="Arial"/>
              </w:rPr>
            </w:pPr>
            <w:r w:rsidRPr="00827F48">
              <w:rPr>
                <w:rFonts w:cs="Arial"/>
              </w:rPr>
              <w:t>74, 202</w:t>
            </w:r>
          </w:p>
        </w:tc>
      </w:tr>
      <w:tr w:rsidR="00827F48" w:rsidRPr="00827F48" w:rsidTr="004373B5">
        <w:tc>
          <w:tcPr>
            <w:tcW w:w="9576" w:type="dxa"/>
            <w:gridSpan w:val="4"/>
            <w:tcBorders>
              <w:left w:val="nil"/>
              <w:bottom w:val="nil"/>
              <w:right w:val="nil"/>
            </w:tcBorders>
          </w:tcPr>
          <w:p w:rsidR="00827F48" w:rsidRPr="00827F48" w:rsidRDefault="00827F48" w:rsidP="004373B5">
            <w:pPr>
              <w:rPr>
                <w:rFonts w:cs="Arial"/>
              </w:rPr>
            </w:pPr>
            <w:r w:rsidRPr="00827F48">
              <w:rPr>
                <w:rFonts w:cs="Arial"/>
              </w:rPr>
              <w:t>CVD = kardiovaskularna bolest; DM = dijabetes melitus; IGT= oštećena tolerancija glukoze.</w:t>
            </w:r>
          </w:p>
          <w:p w:rsidR="00827F48" w:rsidRPr="00827F48" w:rsidRDefault="00827F48" w:rsidP="004373B5">
            <w:pPr>
              <w:rPr>
                <w:rFonts w:cs="Arial"/>
              </w:rPr>
            </w:pPr>
            <w:r w:rsidRPr="00827F48">
              <w:rPr>
                <w:rFonts w:cs="Arial"/>
                <w:vertAlign w:val="superscript"/>
              </w:rPr>
              <w:t>A</w:t>
            </w:r>
            <w:r w:rsidRPr="00827F48">
              <w:rPr>
                <w:rFonts w:cs="Arial"/>
              </w:rPr>
              <w:t xml:space="preserve"> Klasa preporuka.</w:t>
            </w:r>
          </w:p>
          <w:p w:rsidR="00827F48" w:rsidRPr="00827F48" w:rsidRDefault="00827F48" w:rsidP="004373B5">
            <w:pPr>
              <w:rPr>
                <w:rFonts w:cs="Arial"/>
              </w:rPr>
            </w:pPr>
            <w:r w:rsidRPr="00827F48">
              <w:rPr>
                <w:rFonts w:cs="Arial"/>
                <w:vertAlign w:val="superscript"/>
              </w:rPr>
              <w:t>B</w:t>
            </w:r>
            <w:r w:rsidRPr="00827F48">
              <w:rPr>
                <w:rFonts w:cs="Arial"/>
              </w:rPr>
              <w:t xml:space="preserve"> Nivo dokaza.</w:t>
            </w:r>
          </w:p>
          <w:p w:rsidR="00827F48" w:rsidRPr="00827F48" w:rsidRDefault="00827F48" w:rsidP="004373B5">
            <w:pPr>
              <w:rPr>
                <w:rFonts w:cs="Arial"/>
              </w:rPr>
            </w:pPr>
            <w:r w:rsidRPr="00827F48">
              <w:rPr>
                <w:rFonts w:cs="Arial"/>
                <w:vertAlign w:val="superscript"/>
              </w:rPr>
              <w:t>C</w:t>
            </w:r>
            <w:r w:rsidRPr="00827F48">
              <w:rPr>
                <w:rFonts w:cs="Arial"/>
              </w:rPr>
              <w:t xml:space="preserve"> Reference koje podržavaju dokaze.</w:t>
            </w:r>
          </w:p>
        </w:tc>
      </w:tr>
    </w:tbl>
    <w:p w:rsidR="00827F48" w:rsidRPr="00827F48" w:rsidRDefault="00827F48" w:rsidP="00827F48">
      <w:pPr>
        <w:rPr>
          <w:rFonts w:cs="Times New Roman"/>
        </w:rPr>
      </w:pPr>
    </w:p>
    <w:p w:rsidR="00827F48" w:rsidRPr="00827F48" w:rsidRDefault="00827F48" w:rsidP="00827F48">
      <w:pPr>
        <w:rPr>
          <w:rFonts w:cs="Times New Roman"/>
          <w:b/>
        </w:rPr>
      </w:pPr>
      <w:r w:rsidRPr="00827F48">
        <w:rPr>
          <w:rFonts w:cs="Times New Roman"/>
          <w:b/>
        </w:rPr>
        <w:t xml:space="preserve"> 5. Menadžment stabilne i nestabilne bolesti koronarnih arterija</w:t>
      </w:r>
    </w:p>
    <w:p w:rsidR="00827F48" w:rsidRPr="00827F48" w:rsidRDefault="00827F48" w:rsidP="00827F48">
      <w:pPr>
        <w:rPr>
          <w:rFonts w:cs="Times New Roman"/>
          <w:b/>
        </w:rPr>
      </w:pPr>
      <w:r w:rsidRPr="00827F48">
        <w:rPr>
          <w:rFonts w:cs="Times New Roman"/>
          <w:b/>
        </w:rPr>
        <w:t xml:space="preserve">5.1 Medikamentozni menadžment bolesti koronarnih arterija </w:t>
      </w:r>
    </w:p>
    <w:p w:rsidR="00827F48" w:rsidRPr="00827F48" w:rsidRDefault="00827F48" w:rsidP="00827F48">
      <w:pPr>
        <w:rPr>
          <w:rFonts w:cs="Times New Roman"/>
        </w:rPr>
      </w:pPr>
      <w:r w:rsidRPr="00827F48">
        <w:rPr>
          <w:rFonts w:cs="Times New Roman"/>
        </w:rPr>
        <w:t>Pacijentima sa CAD, bez ranije poznatih problema sa glukozom, trebalo bi ponovo odrediti glikemični status. Povišenim nivoom HbA1c i FPG može se ustanoviti dijagnoza DM,</w:t>
      </w:r>
      <w:r w:rsidRPr="00827F48">
        <w:rPr>
          <w:rFonts w:cs="Times New Roman"/>
          <w:vertAlign w:val="superscript"/>
        </w:rPr>
        <w:t>203</w:t>
      </w:r>
      <w:r w:rsidRPr="00827F48">
        <w:rPr>
          <w:rFonts w:cs="Times New Roman"/>
        </w:rPr>
        <w:t xml:space="preserve"> ali i normalna vrijednost ne isključuje abnormalnosti glukoze. Prema tome, odgovarajući skrining metod je OGTT,</w:t>
      </w:r>
      <w:r w:rsidRPr="00827F48">
        <w:rPr>
          <w:rFonts w:cs="Times New Roman"/>
          <w:vertAlign w:val="superscript"/>
        </w:rPr>
        <w:t>2,21</w:t>
      </w:r>
      <w:r w:rsidRPr="00827F48">
        <w:rPr>
          <w:rFonts w:cs="Times New Roman"/>
        </w:rPr>
        <w:t xml:space="preserve"> koji se ne bi trebao raditi ranije nego 4-5 dana poslije ACS kako  bi se minimizirali lažno pozitivni rezultati.</w:t>
      </w:r>
      <w:r w:rsidRPr="00827F48">
        <w:rPr>
          <w:rFonts w:cs="Times New Roman"/>
          <w:vertAlign w:val="superscript"/>
        </w:rPr>
        <w:t>204,205</w:t>
      </w:r>
      <w:r w:rsidRPr="00827F48">
        <w:rPr>
          <w:rFonts w:cs="Times New Roman"/>
        </w:rPr>
        <w:t xml:space="preserve"> Mortalitet unutar bolnice, kao i dugoročni mortalitet nakon MI je opao ali ishod je i dalje slab u DM, vjerovatno zbog visoke prevelence komplikacija i nedostatka liječenja  zasnovanog na dokazima.</w:t>
      </w:r>
      <w:r w:rsidRPr="00827F48">
        <w:rPr>
          <w:rFonts w:cs="Times New Roman"/>
          <w:vertAlign w:val="superscript"/>
        </w:rPr>
        <w:t>206,207</w:t>
      </w:r>
      <w:r w:rsidRPr="00827F48">
        <w:rPr>
          <w:rFonts w:cs="Times New Roman"/>
        </w:rPr>
        <w:t xml:space="preserve"> Dostupne informacije favorizuju proporcionalno sličnu efikasnost menadžmenta kardiovaskularnog rizika kod pacijenata sa i bez  DM, zbog njihovog apsolutnog povišenog rizika, broj koji se treba liječiti (number needed to treat-NNT) kako bi se izbjegao kardiovaskularni događaj  je manji kod pacijenata sa DM.</w:t>
      </w:r>
      <w:r w:rsidRPr="00827F48">
        <w:rPr>
          <w:rFonts w:cs="Times New Roman"/>
          <w:vertAlign w:val="superscript"/>
        </w:rPr>
        <w:t>202</w:t>
      </w:r>
    </w:p>
    <w:p w:rsidR="00827F48" w:rsidRPr="00827F48" w:rsidRDefault="00827F48" w:rsidP="00827F48">
      <w:pPr>
        <w:rPr>
          <w:rFonts w:cs="Times New Roman"/>
          <w:b/>
        </w:rPr>
      </w:pPr>
      <w:r w:rsidRPr="00827F48">
        <w:rPr>
          <w:rFonts w:cs="Times New Roman"/>
          <w:b/>
        </w:rPr>
        <w:t xml:space="preserve">5.1.1 Farmakološki tretman </w:t>
      </w:r>
    </w:p>
    <w:p w:rsidR="00827F48" w:rsidRPr="00827F48" w:rsidRDefault="00827F48" w:rsidP="00827F48">
      <w:pPr>
        <w:rPr>
          <w:rFonts w:cs="Times New Roman"/>
        </w:rPr>
      </w:pPr>
      <w:r w:rsidRPr="00827F48">
        <w:rPr>
          <w:rFonts w:cs="Times New Roman"/>
          <w:b/>
        </w:rPr>
        <w:t>β- Adrenergički blokatori.</w:t>
      </w:r>
      <w:r w:rsidRPr="00827F48">
        <w:rPr>
          <w:rFonts w:cs="Times New Roman"/>
        </w:rPr>
        <w:t xml:space="preserve"> Kao što je naglašeno u trenutnim Evropskim smjernicama β-blokatori su primjenjivi za čitav spektar CAD sa različitim nivoima preporuka i različitim nivoima dokaza.</w:t>
      </w:r>
      <w:r w:rsidRPr="00827F48">
        <w:rPr>
          <w:rFonts w:cs="Times New Roman"/>
          <w:vertAlign w:val="superscript"/>
        </w:rPr>
        <w:t>208-212</w:t>
      </w:r>
      <w:r w:rsidRPr="00827F48">
        <w:rPr>
          <w:rFonts w:cs="Times New Roman"/>
        </w:rPr>
        <w:t xml:space="preserve"> β-Blokatori otklanjaju simptome miokardne ishemije (angina pektoris) kod pacijenata sa stabilnom CAD i mogu da pruže prognostičke benefite, što je sugerisano od strane retrospektivne analize placebom kontrolisanih studija.</w:t>
      </w:r>
      <w:r w:rsidRPr="00827F48">
        <w:rPr>
          <w:rFonts w:cs="Times New Roman"/>
          <w:vertAlign w:val="superscript"/>
        </w:rPr>
        <w:t>209</w:t>
      </w:r>
      <w:r w:rsidRPr="00827F48">
        <w:rPr>
          <w:rFonts w:cs="Times New Roman"/>
        </w:rPr>
        <w:t xml:space="preserve"> β-Blokatori su efikasni u poboljšanju prognoze kod pacijenata sa DM nakon što su imali MI smanjujući vjerovatnoću reinfarkta, iznenadne smrti i ventrikularnih aritmija.</w:t>
      </w:r>
      <w:r w:rsidRPr="00827F48">
        <w:rPr>
          <w:rFonts w:cs="Times New Roman"/>
          <w:vertAlign w:val="superscript"/>
        </w:rPr>
        <w:t>213,214</w:t>
      </w:r>
      <w:r w:rsidRPr="00827F48">
        <w:rPr>
          <w:rFonts w:cs="Times New Roman"/>
        </w:rPr>
        <w:t xml:space="preserve"> β-blokatori mogu da imaju negativan metabolički efakat povećavajući IR i maskiranjem simptoma hipoglikemije, čini se da postoji razlika između nevazodilatirajućih, β-1-antagonista (npr. metoprolol i atenolol) i β-blokatora sa vazodilatirajućim osobinama (npr. β/α-adrenoblokatori, karvedilol i labetolol i β1-blokatora koji moduliraju NO sintezu, kao što je nebivolol).</w:t>
      </w:r>
      <w:r w:rsidRPr="00827F48">
        <w:rPr>
          <w:rFonts w:cs="Times New Roman"/>
          <w:vertAlign w:val="superscript"/>
        </w:rPr>
        <w:t>215</w:t>
      </w:r>
      <w:r w:rsidRPr="00827F48">
        <w:rPr>
          <w:rFonts w:cs="Times New Roman"/>
        </w:rPr>
        <w:t xml:space="preserve"> Sveukupno, pozitivni efekti β-blokade na prognozu značajno  nadmašuju negativan efekat na metabolizam glukoze. </w:t>
      </w:r>
    </w:p>
    <w:p w:rsidR="00827F48" w:rsidRPr="00827F48" w:rsidRDefault="00827F48" w:rsidP="00827F48">
      <w:pPr>
        <w:rPr>
          <w:rFonts w:cs="Times New Roman"/>
        </w:rPr>
      </w:pPr>
      <w:r w:rsidRPr="00827F48">
        <w:rPr>
          <w:rFonts w:cs="Times New Roman"/>
          <w:b/>
        </w:rPr>
        <w:t>Blokatori renin-angiotenzin-aldosteron sistema.</w:t>
      </w:r>
      <w:r w:rsidRPr="00827F48">
        <w:rPr>
          <w:rFonts w:cs="Times New Roman"/>
        </w:rPr>
        <w:t xml:space="preserve"> Liječenje sa ACE-I ili ARB trebalo bi biti započeto tokom hospitalizacije zbog ACS i nastavljeno kod pacijenata sa DM i LVEF &lt; 40%, hipertenzijom, ili hroničnom bolešću bubrega,</w:t>
      </w:r>
      <w:r w:rsidRPr="00827F48">
        <w:rPr>
          <w:rFonts w:cs="Times New Roman"/>
          <w:vertAlign w:val="superscript"/>
        </w:rPr>
        <w:t>208,210,211</w:t>
      </w:r>
      <w:r w:rsidRPr="00827F48">
        <w:rPr>
          <w:rFonts w:cs="Times New Roman"/>
        </w:rPr>
        <w:t xml:space="preserve"> i smatrano kod svih pacijenata sa infarktom miokarda sa ST- elevacijom (STEMI). Pacijentima sa DM i stabilnom CAD se takođe preporučuje da dobiju ACE-I.</w:t>
      </w:r>
      <w:r w:rsidRPr="00827F48">
        <w:rPr>
          <w:rFonts w:cs="Times New Roman"/>
          <w:vertAlign w:val="superscript"/>
        </w:rPr>
        <w:t>209</w:t>
      </w:r>
      <w:r w:rsidRPr="00827F48">
        <w:rPr>
          <w:rFonts w:cs="Times New Roman"/>
        </w:rPr>
        <w:t xml:space="preserve"> The Heart Outcomes Prevention Evaluation (HOPE) studija je pokazala 25% redukciju u MI, moždanom </w:t>
      </w:r>
      <w:r w:rsidRPr="00827F48">
        <w:rPr>
          <w:rFonts w:cs="Times New Roman"/>
        </w:rPr>
        <w:lastRenderedPageBreak/>
        <w:t>udaru, ili kardiovaskularne smrti za pacijente sa poznatom vaskularnom bolešću ili DM, randomiziranih na placebo ili ramipril. Otkriće je bilo konzistentno sa preodređenom subgrupom  pacijenta sa DM.</w:t>
      </w:r>
      <w:r w:rsidRPr="00827F48">
        <w:rPr>
          <w:rFonts w:cs="Times New Roman"/>
          <w:vertAlign w:val="superscript"/>
        </w:rPr>
        <w:t>216</w:t>
      </w:r>
      <w:r w:rsidRPr="00827F48">
        <w:rPr>
          <w:rFonts w:cs="Times New Roman"/>
        </w:rPr>
        <w:t xml:space="preserve"> Proporcionalno sličan trend prema benefitima je primjećen u subgrupi koju su činili pacijenti sa DM u EUropean trial on reduction Of cardiac events with Perindopril in stable coronary Artery disease.</w:t>
      </w:r>
    </w:p>
    <w:p w:rsidR="00827F48" w:rsidRPr="00827F48" w:rsidRDefault="00827F48" w:rsidP="00827F48">
      <w:pPr>
        <w:rPr>
          <w:rFonts w:cs="Times New Roman"/>
        </w:rPr>
      </w:pPr>
      <w:r w:rsidRPr="00827F48">
        <w:rPr>
          <w:rFonts w:cs="Times New Roman"/>
        </w:rPr>
        <w:t>(EUROPA).217 U ONTARGET studiji, telmisartan je bio ekvivalentan ramiprilu što se tiče primarne strukture smrti od kardiovaskularnog uzroka, MI, moždanog udara ili hospitalizacija od srčane slabosti, dok je kombinovanje ova dva lijeka dalo neželjena dejstva bez daljih benefita.</w:t>
      </w:r>
      <w:r w:rsidRPr="00827F48">
        <w:rPr>
          <w:rFonts w:cs="Times New Roman"/>
          <w:vertAlign w:val="superscript"/>
        </w:rPr>
        <w:t>134</w:t>
      </w:r>
      <w:r w:rsidRPr="00827F48">
        <w:rPr>
          <w:rFonts w:cs="Times New Roman"/>
        </w:rPr>
        <w:t xml:space="preserve">  </w:t>
      </w:r>
    </w:p>
    <w:p w:rsidR="00827F48" w:rsidRPr="00827F48" w:rsidRDefault="00827F48" w:rsidP="00827F48">
      <w:pPr>
        <w:rPr>
          <w:rFonts w:cs="Times New Roman"/>
        </w:rPr>
      </w:pPr>
      <w:r w:rsidRPr="00827F48">
        <w:rPr>
          <w:rFonts w:cs="Times New Roman"/>
          <w:b/>
        </w:rPr>
        <w:t>Lijekovi koji snižavaju masnoće.</w:t>
      </w:r>
      <w:r w:rsidRPr="00827F48">
        <w:rPr>
          <w:rFonts w:cs="Times New Roman"/>
        </w:rPr>
        <w:t xml:space="preserve"> Povoljni efekti statina su ustanovljeni kako je to opisano (vidi 4.4.1). </w:t>
      </w:r>
    </w:p>
    <w:p w:rsidR="00827F48" w:rsidRPr="00827F48" w:rsidRDefault="00827F48" w:rsidP="00827F48">
      <w:pPr>
        <w:rPr>
          <w:rFonts w:cs="Times New Roman"/>
        </w:rPr>
      </w:pPr>
      <w:r w:rsidRPr="00827F48">
        <w:rPr>
          <w:rFonts w:cs="Times New Roman"/>
          <w:b/>
        </w:rPr>
        <w:t>Nitrati i blokatori kalcijumskih kanala.</w:t>
      </w:r>
      <w:r w:rsidRPr="00827F48">
        <w:rPr>
          <w:rFonts w:cs="Times New Roman"/>
        </w:rPr>
        <w:t xml:space="preserve"> Ne postoje dokazi za prognostički uticaj nitrata ali se mogu koristiti za otklanjanje simptoma.</w:t>
      </w:r>
      <w:r w:rsidRPr="00827F48">
        <w:rPr>
          <w:rFonts w:cs="Times New Roman"/>
          <w:vertAlign w:val="superscript"/>
        </w:rPr>
        <w:t>208,210,211</w:t>
      </w:r>
    </w:p>
    <w:p w:rsidR="00827F48" w:rsidRPr="00827F48" w:rsidRDefault="00827F48" w:rsidP="00827F48">
      <w:pPr>
        <w:rPr>
          <w:rFonts w:cs="Times New Roman"/>
        </w:rPr>
      </w:pPr>
      <w:r w:rsidRPr="00827F48">
        <w:rPr>
          <w:rFonts w:cs="Times New Roman"/>
          <w:b/>
        </w:rPr>
        <w:t>Blokatori kalcijumskih kanala</w:t>
      </w:r>
      <w:r w:rsidRPr="00827F48">
        <w:rPr>
          <w:rFonts w:cs="Times New Roman"/>
        </w:rPr>
        <w:t xml:space="preserve"> su efikasni u smanjivanju ishemičnih simptoma, i verapamil i diltiazem mogu da preveniraju reinfarkt i smart.</w:t>
      </w:r>
      <w:r w:rsidRPr="00827F48">
        <w:rPr>
          <w:rFonts w:cs="Times New Roman"/>
          <w:vertAlign w:val="superscript"/>
        </w:rPr>
        <w:t>208-211</w:t>
      </w:r>
      <w:r w:rsidRPr="00827F48">
        <w:rPr>
          <w:rFonts w:cs="Times New Roman"/>
        </w:rPr>
        <w:t xml:space="preserve"> Ovi lijekovi mogu biti odgovarajući za dugoročnu upotrebu kod pacijenata bez srčane slabosti, kao alternativa β-blokatorima ili kada β-blokatori mogu biti manje atraktivan izbor, npr. zbog opstruktivne bolesti disjanih puteva. Kombinacija ovih lijekova i β-blokatora bi se trabala izbjegavati kod bradikardije, poremećaja atrioventrikularnog sprovođenja ili kompromitovane funkcije LV. Alternativa je korišćenje dihidropiridinskih blokatora kalcijumskih kanala, kao što je amlodipin, felodipin ili nikardipin. </w:t>
      </w:r>
    </w:p>
    <w:p w:rsidR="00827F48" w:rsidRPr="00827F48" w:rsidRDefault="00827F48" w:rsidP="00827F48">
      <w:pPr>
        <w:rPr>
          <w:rFonts w:cs="Times New Roman"/>
        </w:rPr>
      </w:pPr>
      <w:r w:rsidRPr="00827F48">
        <w:rPr>
          <w:rFonts w:cs="Times New Roman"/>
          <w:b/>
        </w:rPr>
        <w:t>Ivabradin.</w:t>
      </w:r>
      <w:r w:rsidRPr="00827F48">
        <w:rPr>
          <w:rFonts w:cs="Times New Roman"/>
        </w:rPr>
        <w:t xml:space="preserve"> Specifičan lijek, djelotvoran za snižavanje srčane frekvence i smanjivanje angine, inhibira I</w:t>
      </w:r>
      <w:r w:rsidRPr="00827F48">
        <w:rPr>
          <w:rFonts w:cs="Times New Roman"/>
          <w:vertAlign w:val="subscript"/>
        </w:rPr>
        <w:t>f</w:t>
      </w:r>
      <w:r w:rsidRPr="00827F48">
        <w:rPr>
          <w:rFonts w:cs="Times New Roman"/>
        </w:rPr>
        <w:t xml:space="preserve"> struju-primarni modulator spontane dijastolne depolarizacije u sinusnom čvoru. Ivabradin je indikovan u liječenju hronične stabilne angine kod CAD pacijenata sa kontraindikacijama ili intolerancijom na β-blokatore ako pacijent ostane simptomatičan ili ima srčanu frekevencu ˃ 70/min, posebno ako takođe postoji disfunkcija LV. Može biti korišćena kod izabranih pacijenata koji nemaju ACS sa ST elevacijom, u slučaju intolerancije na β-blokatore ili nedovoljnog smanjivanja srčane frekvence uprkos maksimalnoj tolerisanoj dozi β-blokatora.</w:t>
      </w:r>
      <w:r w:rsidRPr="00827F48">
        <w:rPr>
          <w:rFonts w:cs="Times New Roman"/>
          <w:vertAlign w:val="superscript"/>
        </w:rPr>
        <w:t>209,210</w:t>
      </w:r>
      <w:r w:rsidRPr="00827F48">
        <w:rPr>
          <w:rFonts w:cs="Times New Roman"/>
        </w:rPr>
        <w:t xml:space="preserve"> </w:t>
      </w:r>
    </w:p>
    <w:p w:rsidR="00827F48" w:rsidRPr="00827F48" w:rsidRDefault="00827F48" w:rsidP="00827F48">
      <w:pPr>
        <w:rPr>
          <w:rFonts w:cs="Times New Roman"/>
        </w:rPr>
      </w:pPr>
      <w:r w:rsidRPr="00827F48">
        <w:rPr>
          <w:rFonts w:cs="Times New Roman"/>
          <w:b/>
        </w:rPr>
        <w:t>Antiagreagacioni i antitrombotski lijekovi .</w:t>
      </w:r>
      <w:r w:rsidRPr="00827F48">
        <w:rPr>
          <w:rFonts w:cs="Times New Roman"/>
        </w:rPr>
        <w:t xml:space="preserve"> U sekundrarnoj prevenciji, antiagregaciona terapija u formi nisko doznog aspirina (75-160 mg) ili klopidogrel (odvojeno ili u kombinaciji) smanuje rizik od moždanog udara, MI, ili vaskularne smrti iako su benefiti manji u DM (vidi 4.5.1).</w:t>
      </w:r>
      <w:r w:rsidRPr="00827F48">
        <w:rPr>
          <w:rFonts w:cs="Times New Roman"/>
          <w:vertAlign w:val="superscript"/>
        </w:rPr>
        <w:t xml:space="preserve">218 </w:t>
      </w:r>
      <w:r w:rsidRPr="00827F48">
        <w:rPr>
          <w:rFonts w:cs="Times New Roman"/>
        </w:rPr>
        <w:t>Tienopiridini (tiklopidin, klopidogrel, prasugrel i tikagrelor), smanjuju kardiovaskularne događaje kada se dodaju aspirinu kod pacijenata sa ACS.</w:t>
      </w:r>
      <w:r w:rsidRPr="00827F48">
        <w:rPr>
          <w:rFonts w:cs="Times New Roman"/>
          <w:vertAlign w:val="superscript"/>
        </w:rPr>
        <w:t>196,208,211</w:t>
      </w:r>
      <w:r w:rsidRPr="00827F48">
        <w:rPr>
          <w:rFonts w:cs="Times New Roman"/>
        </w:rPr>
        <w:t xml:space="preserve"> U Clopidogrel vs.Aspirin in Patients at Risk of Ischaemic Events (CAPRIE) study, godišnja stopa događaja u DM je bila 15.6% sa klopidogrelom i 17.7% sa aspirinom, tj. apsolutna redukcija rizika od 2.1% , koja odgovara relativnom riziku od 13% sa manje krvarenja. Zbog povećane stope događaja kod pacijenata sa DM, apsolutni benefit klopidogrela je pojačan.</w:t>
      </w:r>
      <w:r w:rsidRPr="00827F48">
        <w:rPr>
          <w:rFonts w:cs="Times New Roman"/>
          <w:vertAlign w:val="superscript"/>
        </w:rPr>
        <w:t>197</w:t>
      </w:r>
      <w:r w:rsidRPr="00827F48">
        <w:rPr>
          <w:rFonts w:cs="Times New Roman"/>
        </w:rPr>
        <w:t xml:space="preserve"> U TRITON, DM subjekti su težili ka većem smanjenju ishemičnih događaja sa prasugrelom nego klopidogrelom, bez povećanja velikih krvarenja.</w:t>
      </w:r>
      <w:r w:rsidRPr="00827F48">
        <w:rPr>
          <w:rFonts w:cs="Times New Roman"/>
          <w:vertAlign w:val="superscript"/>
        </w:rPr>
        <w:t>192</w:t>
      </w:r>
      <w:r w:rsidRPr="00827F48">
        <w:rPr>
          <w:rFonts w:cs="Times New Roman"/>
        </w:rPr>
        <w:t xml:space="preserve"> </w:t>
      </w:r>
    </w:p>
    <w:p w:rsidR="00827F48" w:rsidRPr="00827F48" w:rsidRDefault="00827F48" w:rsidP="00827F48">
      <w:pPr>
        <w:rPr>
          <w:rFonts w:cs="Times New Roman"/>
          <w:b/>
        </w:rPr>
      </w:pPr>
      <w:r w:rsidRPr="00827F48">
        <w:rPr>
          <w:rFonts w:cs="Times New Roman"/>
          <w:b/>
        </w:rPr>
        <w:t>5.1.2 Kontrola glukoze u akutnom koronarnom sindromu</w:t>
      </w:r>
    </w:p>
    <w:p w:rsidR="00827F48" w:rsidRPr="00827F48" w:rsidRDefault="00827F48" w:rsidP="00827F48">
      <w:pPr>
        <w:rPr>
          <w:rFonts w:cs="Times New Roman"/>
        </w:rPr>
      </w:pPr>
      <w:r w:rsidRPr="00827F48">
        <w:rPr>
          <w:rFonts w:cs="Times New Roman"/>
        </w:rPr>
        <w:t>Povišen PG tokom ACS je povezan sa ozbiljnijom prognozom u DM.</w:t>
      </w:r>
      <w:r w:rsidRPr="00827F48">
        <w:rPr>
          <w:rFonts w:cs="Times New Roman"/>
          <w:vertAlign w:val="superscript"/>
        </w:rPr>
        <w:t>219-223</w:t>
      </w:r>
      <w:r w:rsidRPr="00827F48">
        <w:rPr>
          <w:rFonts w:cs="Times New Roman"/>
        </w:rPr>
        <w:t xml:space="preserve"> Glikemijska kontrola je testirana u Dibetes and Insulin-Glucose Infusion in Acute Myocardial Infarction (DIGAMI) 1 i 2 and Hyperglicaemia: Intesive Insulin Infusion in Infaction (HI-5) studiji.</w:t>
      </w:r>
      <w:r w:rsidRPr="00827F48">
        <w:rPr>
          <w:rFonts w:cs="Times New Roman"/>
          <w:vertAlign w:val="superscript"/>
        </w:rPr>
        <w:t>224,225,226</w:t>
      </w:r>
      <w:r w:rsidRPr="00827F48">
        <w:rPr>
          <w:rFonts w:cs="Times New Roman"/>
        </w:rPr>
        <w:t xml:space="preserve"> Prva DIGAMI studija randomizirala je 620 pacijenata sa DM i akutnim MI na one sa  ≥ 24h insulin-glukoznim infuzijama </w:t>
      </w:r>
      <w:r w:rsidRPr="00827F48">
        <w:rPr>
          <w:rFonts w:cs="Times New Roman"/>
        </w:rPr>
        <w:lastRenderedPageBreak/>
        <w:t>praćenih sa multidoznim insulinom, i na one na rutinskoj terapiji za snižavanje glukoze.</w:t>
      </w:r>
      <w:r w:rsidRPr="00827F48">
        <w:rPr>
          <w:rFonts w:cs="Times New Roman"/>
          <w:vertAlign w:val="superscript"/>
        </w:rPr>
        <w:t>224</w:t>
      </w:r>
      <w:r w:rsidRPr="00827F48">
        <w:rPr>
          <w:rFonts w:cs="Times New Roman"/>
        </w:rPr>
        <w:t xml:space="preserve"> Mortalitet nakon 3.4 godine je bio 33% u grupi sa insulinom i 44% (P= 0.011) u kontrolnoj grupi.227 Nasuprot tome, DIGAMI 2 nije uspio da pokaže prognostičke benefite,</w:t>
      </w:r>
      <w:r w:rsidRPr="00827F48">
        <w:rPr>
          <w:rFonts w:cs="Times New Roman"/>
          <w:vertAlign w:val="superscript"/>
        </w:rPr>
        <w:t>225</w:t>
      </w:r>
      <w:r w:rsidRPr="00827F48">
        <w:rPr>
          <w:rFonts w:cs="Times New Roman"/>
        </w:rPr>
        <w:t xml:space="preserve"> i prihvatljivo objašnjenje za ovo je da je HbA1c na prijemu pao za 1.5% sa više startne vrijednosti od 9.1% u DIGAMI1,</w:t>
      </w:r>
      <w:r w:rsidRPr="00827F48">
        <w:rPr>
          <w:rFonts w:cs="Times New Roman"/>
          <w:vertAlign w:val="superscript"/>
        </w:rPr>
        <w:t>224,228</w:t>
      </w:r>
      <w:r w:rsidRPr="00827F48">
        <w:rPr>
          <w:rFonts w:cs="Times New Roman"/>
        </w:rPr>
        <w:t xml:space="preserve"> u poređenju sa padom od samo 0.5% sa vrijednosti od 8.3% u DIGAMI 2.225 Dodatno, upotreba β-blokatora, statina i revaskularizacija je bila ekstenzivnija u DIGAMI2. Razlika u nivou glukoze između kontrolne i insulinske grupe u HI-5 studiji je takođe bio mali i nije bilo redukcije u mortalitetu sa insulinom.</w:t>
      </w:r>
      <w:r w:rsidRPr="00827F48">
        <w:rPr>
          <w:rFonts w:cs="Times New Roman"/>
          <w:vertAlign w:val="superscript"/>
        </w:rPr>
        <w:t>226</w:t>
      </w:r>
      <w:r w:rsidRPr="00827F48">
        <w:rPr>
          <w:rFonts w:cs="Times New Roman"/>
        </w:rPr>
        <w:t xml:space="preserve"> Izvučeni podaci iz tri studije su potvrdili da infuzije glukoze i insulina nisu smanjile mortalitet u odsustvu glukozne kontrole kod pacijenata sa akutnim MI i DM (RR 1.07; P= 0.547).</w:t>
      </w:r>
      <w:r w:rsidRPr="00827F48">
        <w:rPr>
          <w:rFonts w:cs="Times New Roman"/>
          <w:vertAlign w:val="superscript"/>
        </w:rPr>
        <w:t>229</w:t>
      </w:r>
      <w:r w:rsidRPr="00827F48">
        <w:rPr>
          <w:rFonts w:cs="Times New Roman"/>
        </w:rPr>
        <w:t xml:space="preserve"> The Heart2D (Hyperlicaemia and its effect after acute myocardial infarction on cardiovascular outcomes in patients with Type 2 diabetes mellitus) upoređivala je efekte prandijalne (prije jela insulin tri puta na dan; n= 557) vs. bazalna glikemijska kontrola (dugodjelujući inzulin jednom ili dvaput dnevno; n= 558) na kardiovaskularne događaje u T2DM. Ciljevi su bili, postprandijalni nivo glukoze od 7.5 mmol/l (135/mg/dl) i FPG od 6.7 mmol/l /121 mg/dl), respektivno. Studija je stopirana nakon prosječnog praćenja od 963 dana, zbog nedovojne efikasnosti.</w:t>
      </w:r>
      <w:r w:rsidRPr="00827F48">
        <w:rPr>
          <w:rFonts w:cs="Times New Roman"/>
          <w:vertAlign w:val="superscript"/>
        </w:rPr>
        <w:t>94</w:t>
      </w:r>
      <w:r w:rsidRPr="00827F48">
        <w:rPr>
          <w:rFonts w:cs="Times New Roman"/>
        </w:rPr>
        <w:t xml:space="preserve"> </w:t>
      </w:r>
    </w:p>
    <w:p w:rsidR="00827F48" w:rsidRPr="00827F48" w:rsidRDefault="00827F48" w:rsidP="00827F48">
      <w:pPr>
        <w:rPr>
          <w:rFonts w:cs="Times New Roman"/>
        </w:rPr>
      </w:pPr>
      <w:r w:rsidRPr="00827F48">
        <w:rPr>
          <w:rFonts w:cs="Times New Roman"/>
        </w:rPr>
        <w:t>Neke studije registara su sugeriale da postoji J ili U oblik povezanosti PG i prognoze,</w:t>
      </w:r>
      <w:r w:rsidRPr="00827F48">
        <w:rPr>
          <w:rFonts w:cs="Times New Roman"/>
          <w:vertAlign w:val="superscript"/>
        </w:rPr>
        <w:t>220,222,223</w:t>
      </w:r>
      <w:r w:rsidRPr="00827F48">
        <w:rPr>
          <w:rFonts w:cs="Times New Roman"/>
        </w:rPr>
        <w:t xml:space="preserve"> sa implikacijom da i hipoglikemija i hiperglikemija nisu poželjne. Kompnezatotorni mehanizam indukovan hipoglikemijom, kao što je povišeno oslobađanje kateholamina, može da pogorša ishemiju miokarda i provocira aritmije,</w:t>
      </w:r>
      <w:r w:rsidRPr="00827F48">
        <w:rPr>
          <w:rFonts w:cs="Times New Roman"/>
          <w:vertAlign w:val="superscript"/>
        </w:rPr>
        <w:t>230,231</w:t>
      </w:r>
      <w:r w:rsidRPr="00827F48">
        <w:rPr>
          <w:rFonts w:cs="Times New Roman"/>
        </w:rPr>
        <w:t xml:space="preserve"> Nedavni podaci ukazuju da epizode hipoglikemije identifikuju pacijente u riziku od drugih stanja (npr. srčana slabost, renalna disfunkcija i malnutricija) i hipoglikemija ne ostaje kao nezavisan faktor rizika nakon korekcije ovakvih varijabli.</w:t>
      </w:r>
      <w:r w:rsidRPr="00827F48">
        <w:rPr>
          <w:rFonts w:cs="Times New Roman"/>
          <w:vertAlign w:val="superscript"/>
        </w:rPr>
        <w:t>232,233</w:t>
      </w:r>
    </w:p>
    <w:p w:rsidR="00827F48" w:rsidRPr="00827F48" w:rsidRDefault="00827F48" w:rsidP="00827F48">
      <w:pPr>
        <w:rPr>
          <w:rFonts w:cs="Times New Roman"/>
        </w:rPr>
      </w:pPr>
      <w:r w:rsidRPr="00827F48">
        <w:rPr>
          <w:rFonts w:cs="Times New Roman"/>
        </w:rPr>
        <w:t xml:space="preserve">Razuman zaključak će DM i akutni MI imati benefit od glikemijske kontrole ako je hiperglikemija signifikantna (˃ 10 mmol/l ili 180 mg/dl). Približavanje prema normoglikemiji, sa manje strogim ciljem kod onih sa teškim komorbiditetima, je razuman cilj ali tačan cilj još ostaje da se definiše. Insulinske infuzije su najefikasniji put da se postigne kontrola glikemije pod ovim okolnostima. </w:t>
      </w:r>
    </w:p>
    <w:tbl>
      <w:tblPr>
        <w:tblStyle w:val="TableGrid"/>
        <w:tblW w:w="0" w:type="auto"/>
        <w:tblLayout w:type="fixed"/>
        <w:tblLook w:val="04A0" w:firstRow="1" w:lastRow="0" w:firstColumn="1" w:lastColumn="0" w:noHBand="0" w:noVBand="1"/>
      </w:tblPr>
      <w:tblGrid>
        <w:gridCol w:w="7196"/>
        <w:gridCol w:w="709"/>
        <w:gridCol w:w="765"/>
        <w:gridCol w:w="906"/>
      </w:tblGrid>
      <w:tr w:rsidR="00827F48" w:rsidRPr="00827F48" w:rsidTr="004373B5">
        <w:tc>
          <w:tcPr>
            <w:tcW w:w="9576" w:type="dxa"/>
            <w:gridSpan w:val="4"/>
            <w:tcBorders>
              <w:top w:val="nil"/>
              <w:left w:val="nil"/>
              <w:right w:val="nil"/>
            </w:tcBorders>
          </w:tcPr>
          <w:p w:rsidR="00827F48" w:rsidRPr="00827F48" w:rsidRDefault="00827F48" w:rsidP="004373B5">
            <w:pPr>
              <w:rPr>
                <w:rFonts w:cs="Arial"/>
              </w:rPr>
            </w:pPr>
            <w:r w:rsidRPr="00827F48">
              <w:rPr>
                <w:rFonts w:cs="Arial"/>
              </w:rPr>
              <w:t>Preporuke za menadžment pacijenata sa stabilnom i nestabilnom koronarnom arterijskom bolešću i dijabetesom</w:t>
            </w:r>
          </w:p>
        </w:tc>
      </w:tr>
      <w:tr w:rsidR="00827F48" w:rsidRPr="00827F48" w:rsidTr="004373B5">
        <w:tc>
          <w:tcPr>
            <w:tcW w:w="9576" w:type="dxa"/>
            <w:gridSpan w:val="4"/>
          </w:tcPr>
          <w:p w:rsidR="00827F48" w:rsidRPr="00827F48" w:rsidRDefault="00827F48" w:rsidP="004373B5">
            <w:pPr>
              <w:rPr>
                <w:rFonts w:cs="Arial"/>
              </w:rPr>
            </w:pPr>
            <w:r w:rsidRPr="00827F48">
              <w:rPr>
                <w:rFonts w:cs="Arial"/>
              </w:rPr>
              <w:t>Menadžment pacijenata sa stabilnom i nestabilnom koronarnom arterijskom bolešću i dijabetesom</w:t>
            </w:r>
          </w:p>
        </w:tc>
      </w:tr>
      <w:tr w:rsidR="00827F48" w:rsidRPr="00827F48" w:rsidTr="004373B5">
        <w:tc>
          <w:tcPr>
            <w:tcW w:w="7196" w:type="dxa"/>
          </w:tcPr>
          <w:p w:rsidR="00827F48" w:rsidRPr="00827F48" w:rsidRDefault="00827F48" w:rsidP="004373B5">
            <w:pPr>
              <w:rPr>
                <w:rFonts w:cs="Arial"/>
                <w:b/>
              </w:rPr>
            </w:pPr>
            <w:r w:rsidRPr="00827F48">
              <w:rPr>
                <w:rFonts w:cs="Arial"/>
                <w:b/>
              </w:rPr>
              <w:t xml:space="preserve">Preporuke </w:t>
            </w:r>
          </w:p>
        </w:tc>
        <w:tc>
          <w:tcPr>
            <w:tcW w:w="709" w:type="dxa"/>
          </w:tcPr>
          <w:p w:rsidR="00827F48" w:rsidRPr="00827F48" w:rsidRDefault="00827F48" w:rsidP="004373B5">
            <w:pPr>
              <w:rPr>
                <w:rFonts w:cs="Arial"/>
                <w:b/>
              </w:rPr>
            </w:pPr>
            <w:r w:rsidRPr="00827F48">
              <w:rPr>
                <w:rFonts w:cs="Arial"/>
                <w:b/>
              </w:rPr>
              <w:t>Klasa</w:t>
            </w:r>
            <w:r w:rsidRPr="00827F48">
              <w:rPr>
                <w:rFonts w:cs="Arial"/>
                <w:b/>
                <w:vertAlign w:val="superscript"/>
              </w:rPr>
              <w:t>a</w:t>
            </w:r>
          </w:p>
        </w:tc>
        <w:tc>
          <w:tcPr>
            <w:tcW w:w="765" w:type="dxa"/>
          </w:tcPr>
          <w:p w:rsidR="00827F48" w:rsidRPr="00827F48" w:rsidRDefault="00827F48" w:rsidP="004373B5">
            <w:pPr>
              <w:rPr>
                <w:rFonts w:cs="Arial"/>
                <w:b/>
              </w:rPr>
            </w:pPr>
            <w:r w:rsidRPr="00827F48">
              <w:rPr>
                <w:rFonts w:cs="Arial"/>
                <w:b/>
              </w:rPr>
              <w:t>Nivo</w:t>
            </w:r>
            <w:r w:rsidRPr="00827F48">
              <w:rPr>
                <w:rFonts w:cs="Arial"/>
                <w:b/>
                <w:vertAlign w:val="superscript"/>
              </w:rPr>
              <w:t>b</w:t>
            </w:r>
          </w:p>
        </w:tc>
        <w:tc>
          <w:tcPr>
            <w:tcW w:w="906" w:type="dxa"/>
          </w:tcPr>
          <w:p w:rsidR="00827F48" w:rsidRPr="00827F48" w:rsidRDefault="00827F48" w:rsidP="004373B5">
            <w:pPr>
              <w:rPr>
                <w:rFonts w:cs="Arial"/>
                <w:b/>
              </w:rPr>
            </w:pPr>
            <w:r w:rsidRPr="00827F48">
              <w:rPr>
                <w:rFonts w:cs="Arial"/>
                <w:b/>
              </w:rPr>
              <w:t>Ref.</w:t>
            </w:r>
            <w:r w:rsidRPr="00827F48">
              <w:rPr>
                <w:rFonts w:cs="Arial"/>
                <w:b/>
                <w:vertAlign w:val="superscript"/>
              </w:rPr>
              <w:t>c</w:t>
            </w:r>
          </w:p>
        </w:tc>
      </w:tr>
      <w:tr w:rsidR="00827F48" w:rsidRPr="00827F48" w:rsidTr="004373B5">
        <w:tc>
          <w:tcPr>
            <w:tcW w:w="7196" w:type="dxa"/>
          </w:tcPr>
          <w:p w:rsidR="00827F48" w:rsidRPr="00827F48" w:rsidRDefault="00827F48" w:rsidP="004373B5">
            <w:pPr>
              <w:rPr>
                <w:rFonts w:cs="Arial"/>
              </w:rPr>
            </w:pPr>
            <w:r w:rsidRPr="00827F48">
              <w:rPr>
                <w:rFonts w:cs="Arial"/>
              </w:rPr>
              <w:t>Preporučeno je da se pacijenti sa CVD ispitaju u vezi sa mogućim poremećajem metabolizma glukoze.</w:t>
            </w:r>
          </w:p>
        </w:tc>
        <w:tc>
          <w:tcPr>
            <w:tcW w:w="709" w:type="dxa"/>
            <w:vAlign w:val="center"/>
          </w:tcPr>
          <w:p w:rsidR="00827F48" w:rsidRPr="00827F48" w:rsidRDefault="00827F48" w:rsidP="004373B5">
            <w:pPr>
              <w:jc w:val="center"/>
              <w:rPr>
                <w:rFonts w:cs="Arial"/>
              </w:rPr>
            </w:pPr>
            <w:r w:rsidRPr="00827F48">
              <w:rPr>
                <w:rFonts w:cs="Arial"/>
              </w:rPr>
              <w:t>I</w:t>
            </w:r>
          </w:p>
        </w:tc>
        <w:tc>
          <w:tcPr>
            <w:tcW w:w="765" w:type="dxa"/>
            <w:vAlign w:val="center"/>
          </w:tcPr>
          <w:p w:rsidR="00827F48" w:rsidRPr="00827F48" w:rsidRDefault="00827F48" w:rsidP="004373B5">
            <w:pPr>
              <w:jc w:val="center"/>
              <w:rPr>
                <w:rFonts w:cs="Arial"/>
              </w:rPr>
            </w:pPr>
            <w:r w:rsidRPr="00827F48">
              <w:rPr>
                <w:rFonts w:cs="Arial"/>
              </w:rPr>
              <w:t>A</w:t>
            </w:r>
          </w:p>
        </w:tc>
        <w:tc>
          <w:tcPr>
            <w:tcW w:w="906" w:type="dxa"/>
            <w:vAlign w:val="center"/>
          </w:tcPr>
          <w:p w:rsidR="00827F48" w:rsidRPr="00827F48" w:rsidRDefault="00827F48" w:rsidP="004373B5">
            <w:pPr>
              <w:jc w:val="center"/>
              <w:rPr>
                <w:rFonts w:cs="Arial"/>
              </w:rPr>
            </w:pPr>
            <w:r w:rsidRPr="00827F48">
              <w:rPr>
                <w:rFonts w:cs="Arial"/>
              </w:rPr>
              <w:t>234,235</w:t>
            </w:r>
          </w:p>
        </w:tc>
      </w:tr>
      <w:tr w:rsidR="00827F48" w:rsidRPr="00827F48" w:rsidTr="004373B5">
        <w:tc>
          <w:tcPr>
            <w:tcW w:w="7196" w:type="dxa"/>
          </w:tcPr>
          <w:p w:rsidR="00827F48" w:rsidRPr="00827F48" w:rsidRDefault="00827F48" w:rsidP="004373B5">
            <w:pPr>
              <w:rPr>
                <w:rFonts w:cs="Arial"/>
              </w:rPr>
            </w:pPr>
            <w:r w:rsidRPr="00827F48">
              <w:rPr>
                <w:rFonts w:cs="Arial"/>
              </w:rPr>
              <w:t xml:space="preserve">Trebali bi se razmotriti beta-blokatori kako bi se smanji mortalitet i morbiditet kod pacijenata sa DM i ACS. </w:t>
            </w:r>
          </w:p>
        </w:tc>
        <w:tc>
          <w:tcPr>
            <w:tcW w:w="709" w:type="dxa"/>
            <w:vAlign w:val="center"/>
          </w:tcPr>
          <w:p w:rsidR="00827F48" w:rsidRPr="00827F48" w:rsidRDefault="00827F48" w:rsidP="004373B5">
            <w:pPr>
              <w:jc w:val="center"/>
              <w:rPr>
                <w:rFonts w:cs="Arial"/>
              </w:rPr>
            </w:pPr>
            <w:r w:rsidRPr="00827F48">
              <w:rPr>
                <w:rFonts w:cs="Arial"/>
              </w:rPr>
              <w:t>IIa</w:t>
            </w:r>
          </w:p>
        </w:tc>
        <w:tc>
          <w:tcPr>
            <w:tcW w:w="765" w:type="dxa"/>
            <w:vAlign w:val="center"/>
          </w:tcPr>
          <w:p w:rsidR="00827F48" w:rsidRPr="00827F48" w:rsidRDefault="00827F48" w:rsidP="004373B5">
            <w:pPr>
              <w:jc w:val="center"/>
              <w:rPr>
                <w:rFonts w:cs="Arial"/>
              </w:rPr>
            </w:pPr>
            <w:r w:rsidRPr="00827F48">
              <w:rPr>
                <w:rFonts w:cs="Arial"/>
              </w:rPr>
              <w:t>B</w:t>
            </w:r>
          </w:p>
        </w:tc>
        <w:tc>
          <w:tcPr>
            <w:tcW w:w="906" w:type="dxa"/>
            <w:vAlign w:val="center"/>
          </w:tcPr>
          <w:p w:rsidR="00827F48" w:rsidRPr="00827F48" w:rsidRDefault="00827F48" w:rsidP="004373B5">
            <w:pPr>
              <w:jc w:val="center"/>
              <w:rPr>
                <w:rFonts w:cs="Arial"/>
              </w:rPr>
            </w:pPr>
            <w:r w:rsidRPr="00827F48">
              <w:rPr>
                <w:rFonts w:cs="Arial"/>
              </w:rPr>
              <w:t>213,214</w:t>
            </w:r>
          </w:p>
        </w:tc>
      </w:tr>
      <w:tr w:rsidR="00827F48" w:rsidRPr="00827F48" w:rsidTr="004373B5">
        <w:tc>
          <w:tcPr>
            <w:tcW w:w="7196" w:type="dxa"/>
          </w:tcPr>
          <w:p w:rsidR="00827F48" w:rsidRPr="00827F48" w:rsidRDefault="00827F48" w:rsidP="004373B5">
            <w:pPr>
              <w:rPr>
                <w:rFonts w:cs="Arial"/>
              </w:rPr>
            </w:pPr>
            <w:r w:rsidRPr="00827F48">
              <w:rPr>
                <w:rFonts w:cs="Arial"/>
              </w:rPr>
              <w:t xml:space="preserve">ACE-I ili ARBs su indikovani kod pacijenata sa DM i CAD kako bi se smanjio rizik od kardiovaskularnih događaja. </w:t>
            </w:r>
          </w:p>
        </w:tc>
        <w:tc>
          <w:tcPr>
            <w:tcW w:w="709" w:type="dxa"/>
            <w:vAlign w:val="center"/>
          </w:tcPr>
          <w:p w:rsidR="00827F48" w:rsidRPr="00827F48" w:rsidRDefault="00827F48" w:rsidP="004373B5">
            <w:pPr>
              <w:jc w:val="center"/>
              <w:rPr>
                <w:rFonts w:cs="Arial"/>
              </w:rPr>
            </w:pPr>
            <w:r w:rsidRPr="00827F48">
              <w:rPr>
                <w:rFonts w:cs="Arial"/>
              </w:rPr>
              <w:t>I</w:t>
            </w:r>
          </w:p>
        </w:tc>
        <w:tc>
          <w:tcPr>
            <w:tcW w:w="765" w:type="dxa"/>
            <w:vAlign w:val="center"/>
          </w:tcPr>
          <w:p w:rsidR="00827F48" w:rsidRPr="00827F48" w:rsidRDefault="00827F48" w:rsidP="004373B5">
            <w:pPr>
              <w:jc w:val="center"/>
              <w:rPr>
                <w:rFonts w:cs="Arial"/>
              </w:rPr>
            </w:pPr>
            <w:r w:rsidRPr="00827F48">
              <w:rPr>
                <w:rFonts w:cs="Arial"/>
              </w:rPr>
              <w:t>A</w:t>
            </w:r>
          </w:p>
        </w:tc>
        <w:tc>
          <w:tcPr>
            <w:tcW w:w="906" w:type="dxa"/>
            <w:vAlign w:val="center"/>
          </w:tcPr>
          <w:p w:rsidR="00827F48" w:rsidRPr="00827F48" w:rsidRDefault="00827F48" w:rsidP="004373B5">
            <w:pPr>
              <w:jc w:val="center"/>
              <w:rPr>
                <w:rFonts w:cs="Arial"/>
              </w:rPr>
            </w:pPr>
            <w:r w:rsidRPr="00827F48">
              <w:rPr>
                <w:rFonts w:cs="Arial"/>
              </w:rPr>
              <w:t>134, 216, 217</w:t>
            </w:r>
          </w:p>
        </w:tc>
      </w:tr>
      <w:tr w:rsidR="00827F48" w:rsidRPr="00827F48" w:rsidTr="004373B5">
        <w:tc>
          <w:tcPr>
            <w:tcW w:w="7196" w:type="dxa"/>
          </w:tcPr>
          <w:p w:rsidR="00827F48" w:rsidRPr="00827F48" w:rsidRDefault="00827F48" w:rsidP="004373B5">
            <w:pPr>
              <w:rPr>
                <w:rFonts w:cs="Arial"/>
              </w:rPr>
            </w:pPr>
            <w:r w:rsidRPr="00827F48">
              <w:rPr>
                <w:rFonts w:cs="Arial"/>
              </w:rPr>
              <w:t xml:space="preserve">Terapija statinima je indikovana kod pacijenata sa DM i CAD kako bi se smanji rizik od kardivaskularnih događaja.  </w:t>
            </w:r>
          </w:p>
        </w:tc>
        <w:tc>
          <w:tcPr>
            <w:tcW w:w="709" w:type="dxa"/>
            <w:vAlign w:val="center"/>
          </w:tcPr>
          <w:p w:rsidR="00827F48" w:rsidRPr="00827F48" w:rsidRDefault="00827F48" w:rsidP="004373B5">
            <w:pPr>
              <w:jc w:val="center"/>
              <w:rPr>
                <w:rFonts w:cs="Arial"/>
              </w:rPr>
            </w:pPr>
            <w:r w:rsidRPr="00827F48">
              <w:rPr>
                <w:rFonts w:cs="Arial"/>
              </w:rPr>
              <w:t>I</w:t>
            </w:r>
          </w:p>
        </w:tc>
        <w:tc>
          <w:tcPr>
            <w:tcW w:w="765" w:type="dxa"/>
            <w:vAlign w:val="center"/>
          </w:tcPr>
          <w:p w:rsidR="00827F48" w:rsidRPr="00827F48" w:rsidRDefault="00827F48" w:rsidP="004373B5">
            <w:pPr>
              <w:jc w:val="center"/>
              <w:rPr>
                <w:rFonts w:cs="Arial"/>
              </w:rPr>
            </w:pPr>
            <w:r w:rsidRPr="00827F48">
              <w:rPr>
                <w:rFonts w:cs="Arial"/>
              </w:rPr>
              <w:t>A</w:t>
            </w:r>
          </w:p>
        </w:tc>
        <w:tc>
          <w:tcPr>
            <w:tcW w:w="906" w:type="dxa"/>
            <w:vAlign w:val="center"/>
          </w:tcPr>
          <w:p w:rsidR="00827F48" w:rsidRPr="00827F48" w:rsidRDefault="00827F48" w:rsidP="004373B5">
            <w:pPr>
              <w:jc w:val="center"/>
              <w:rPr>
                <w:rFonts w:cs="Arial"/>
              </w:rPr>
            </w:pPr>
            <w:r w:rsidRPr="00827F48">
              <w:rPr>
                <w:rFonts w:cs="Arial"/>
              </w:rPr>
              <w:t>143</w:t>
            </w:r>
          </w:p>
        </w:tc>
      </w:tr>
      <w:tr w:rsidR="00827F48" w:rsidRPr="00827F48" w:rsidTr="004373B5">
        <w:tc>
          <w:tcPr>
            <w:tcW w:w="7196" w:type="dxa"/>
            <w:tcBorders>
              <w:bottom w:val="single" w:sz="4" w:space="0" w:color="auto"/>
            </w:tcBorders>
          </w:tcPr>
          <w:p w:rsidR="00827F48" w:rsidRPr="00827F48" w:rsidRDefault="00827F48" w:rsidP="004373B5">
            <w:pPr>
              <w:rPr>
                <w:rFonts w:cs="Arial"/>
              </w:rPr>
            </w:pPr>
            <w:r w:rsidRPr="00827F48">
              <w:rPr>
                <w:rFonts w:cs="Arial"/>
              </w:rPr>
              <w:t>Aspirin je indikovan kod pacijenata sa DM i CAD kako bi se redukovao rizik od kardiovaskularnih događaja.</w:t>
            </w:r>
          </w:p>
        </w:tc>
        <w:tc>
          <w:tcPr>
            <w:tcW w:w="709" w:type="dxa"/>
            <w:tcBorders>
              <w:bottom w:val="single" w:sz="4" w:space="0" w:color="auto"/>
            </w:tcBorders>
            <w:vAlign w:val="center"/>
          </w:tcPr>
          <w:p w:rsidR="00827F48" w:rsidRPr="00827F48" w:rsidRDefault="00827F48" w:rsidP="004373B5">
            <w:pPr>
              <w:jc w:val="center"/>
              <w:rPr>
                <w:rFonts w:cs="Arial"/>
              </w:rPr>
            </w:pPr>
            <w:r w:rsidRPr="00827F48">
              <w:rPr>
                <w:rFonts w:cs="Arial"/>
              </w:rPr>
              <w:t>I</w:t>
            </w:r>
          </w:p>
        </w:tc>
        <w:tc>
          <w:tcPr>
            <w:tcW w:w="765" w:type="dxa"/>
            <w:tcBorders>
              <w:bottom w:val="single" w:sz="4" w:space="0" w:color="auto"/>
            </w:tcBorders>
            <w:vAlign w:val="center"/>
          </w:tcPr>
          <w:p w:rsidR="00827F48" w:rsidRPr="00827F48" w:rsidRDefault="00827F48" w:rsidP="004373B5">
            <w:pPr>
              <w:jc w:val="center"/>
              <w:rPr>
                <w:rFonts w:cs="Arial"/>
              </w:rPr>
            </w:pPr>
            <w:r w:rsidRPr="00827F48">
              <w:rPr>
                <w:rFonts w:cs="Arial"/>
              </w:rPr>
              <w:t>A</w:t>
            </w:r>
          </w:p>
        </w:tc>
        <w:tc>
          <w:tcPr>
            <w:tcW w:w="906" w:type="dxa"/>
            <w:tcBorders>
              <w:bottom w:val="single" w:sz="4" w:space="0" w:color="auto"/>
            </w:tcBorders>
            <w:vAlign w:val="center"/>
          </w:tcPr>
          <w:p w:rsidR="00827F48" w:rsidRPr="00827F48" w:rsidRDefault="00827F48" w:rsidP="004373B5">
            <w:pPr>
              <w:jc w:val="center"/>
              <w:rPr>
                <w:rFonts w:cs="Arial"/>
              </w:rPr>
            </w:pPr>
            <w:r w:rsidRPr="00827F48">
              <w:rPr>
                <w:rFonts w:cs="Arial"/>
              </w:rPr>
              <w:t>186, 218</w:t>
            </w:r>
          </w:p>
        </w:tc>
      </w:tr>
      <w:tr w:rsidR="00827F48" w:rsidRPr="00827F48" w:rsidTr="004373B5">
        <w:tc>
          <w:tcPr>
            <w:tcW w:w="7196" w:type="dxa"/>
            <w:tcBorders>
              <w:bottom w:val="single" w:sz="4" w:space="0" w:color="auto"/>
            </w:tcBorders>
          </w:tcPr>
          <w:p w:rsidR="00827F48" w:rsidRPr="00827F48" w:rsidRDefault="00827F48" w:rsidP="004373B5">
            <w:pPr>
              <w:rPr>
                <w:rFonts w:cs="Arial"/>
              </w:rPr>
            </w:pPr>
            <w:r w:rsidRPr="00827F48">
              <w:rPr>
                <w:rFonts w:cs="Arial"/>
              </w:rPr>
              <w:t xml:space="preserve">Inhibicija P2Y12 receptora trombocita se preporučuje kod pacijenata sa DM i ACS kao dodatak aspirinu </w:t>
            </w:r>
          </w:p>
        </w:tc>
        <w:tc>
          <w:tcPr>
            <w:tcW w:w="709" w:type="dxa"/>
            <w:tcBorders>
              <w:bottom w:val="single" w:sz="4" w:space="0" w:color="auto"/>
            </w:tcBorders>
            <w:vAlign w:val="center"/>
          </w:tcPr>
          <w:p w:rsidR="00827F48" w:rsidRPr="00827F48" w:rsidRDefault="00827F48" w:rsidP="004373B5">
            <w:pPr>
              <w:jc w:val="center"/>
              <w:rPr>
                <w:rFonts w:cs="Arial"/>
              </w:rPr>
            </w:pPr>
            <w:r w:rsidRPr="00827F48">
              <w:rPr>
                <w:rFonts w:cs="Arial"/>
              </w:rPr>
              <w:t>I</w:t>
            </w:r>
          </w:p>
        </w:tc>
        <w:tc>
          <w:tcPr>
            <w:tcW w:w="765" w:type="dxa"/>
            <w:tcBorders>
              <w:bottom w:val="single" w:sz="4" w:space="0" w:color="auto"/>
            </w:tcBorders>
            <w:vAlign w:val="center"/>
          </w:tcPr>
          <w:p w:rsidR="00827F48" w:rsidRPr="00827F48" w:rsidRDefault="00827F48" w:rsidP="004373B5">
            <w:pPr>
              <w:jc w:val="center"/>
              <w:rPr>
                <w:rFonts w:cs="Arial"/>
              </w:rPr>
            </w:pPr>
            <w:r w:rsidRPr="00827F48">
              <w:rPr>
                <w:rFonts w:cs="Arial"/>
              </w:rPr>
              <w:t>A</w:t>
            </w:r>
          </w:p>
        </w:tc>
        <w:tc>
          <w:tcPr>
            <w:tcW w:w="906" w:type="dxa"/>
            <w:tcBorders>
              <w:bottom w:val="single" w:sz="4" w:space="0" w:color="auto"/>
            </w:tcBorders>
            <w:vAlign w:val="center"/>
          </w:tcPr>
          <w:p w:rsidR="00827F48" w:rsidRPr="00827F48" w:rsidRDefault="00827F48" w:rsidP="004373B5">
            <w:pPr>
              <w:jc w:val="center"/>
              <w:rPr>
                <w:rFonts w:cs="Arial"/>
              </w:rPr>
            </w:pPr>
            <w:r w:rsidRPr="00827F48">
              <w:rPr>
                <w:rFonts w:cs="Arial"/>
              </w:rPr>
              <w:t xml:space="preserve">192, 194, 196, 197, </w:t>
            </w:r>
            <w:r w:rsidRPr="00827F48">
              <w:rPr>
                <w:rFonts w:cs="Arial"/>
              </w:rPr>
              <w:lastRenderedPageBreak/>
              <w:t>208, 211</w:t>
            </w:r>
          </w:p>
        </w:tc>
      </w:tr>
      <w:tr w:rsidR="00827F48" w:rsidRPr="00827F48" w:rsidTr="004373B5">
        <w:tc>
          <w:tcPr>
            <w:tcW w:w="7196" w:type="dxa"/>
            <w:tcBorders>
              <w:bottom w:val="single" w:sz="4" w:space="0" w:color="auto"/>
            </w:tcBorders>
          </w:tcPr>
          <w:p w:rsidR="00827F48" w:rsidRPr="00827F48" w:rsidRDefault="00827F48" w:rsidP="004373B5">
            <w:pPr>
              <w:rPr>
                <w:rFonts w:cs="Arial"/>
              </w:rPr>
            </w:pPr>
            <w:r w:rsidRPr="00827F48">
              <w:rPr>
                <w:rFonts w:cs="Arial"/>
              </w:rPr>
              <w:lastRenderedPageBreak/>
              <w:t xml:space="preserve">Kontrola glukoze bazirana na isnulinu trebala bi se razmotriti kod pacijenata sa ACS sa značajnom hiperglikemijom (&gt;10 mmol/l ili 180 &gt;mg/dl) sa ciljevima prilagođenim mogućim prisutnim komorbiditetima. </w:t>
            </w:r>
          </w:p>
        </w:tc>
        <w:tc>
          <w:tcPr>
            <w:tcW w:w="709" w:type="dxa"/>
            <w:tcBorders>
              <w:bottom w:val="single" w:sz="4" w:space="0" w:color="auto"/>
            </w:tcBorders>
            <w:vAlign w:val="center"/>
          </w:tcPr>
          <w:p w:rsidR="00827F48" w:rsidRPr="00827F48" w:rsidRDefault="00827F48" w:rsidP="004373B5">
            <w:pPr>
              <w:jc w:val="center"/>
              <w:rPr>
                <w:rFonts w:cs="Arial"/>
              </w:rPr>
            </w:pPr>
            <w:r w:rsidRPr="00827F48">
              <w:rPr>
                <w:rFonts w:cs="Arial"/>
              </w:rPr>
              <w:t>IIa</w:t>
            </w:r>
          </w:p>
        </w:tc>
        <w:tc>
          <w:tcPr>
            <w:tcW w:w="765" w:type="dxa"/>
            <w:tcBorders>
              <w:bottom w:val="single" w:sz="4" w:space="0" w:color="auto"/>
            </w:tcBorders>
            <w:vAlign w:val="center"/>
          </w:tcPr>
          <w:p w:rsidR="00827F48" w:rsidRPr="00827F48" w:rsidRDefault="00827F48" w:rsidP="004373B5">
            <w:pPr>
              <w:jc w:val="center"/>
              <w:rPr>
                <w:rFonts w:cs="Arial"/>
              </w:rPr>
            </w:pPr>
            <w:r w:rsidRPr="00827F48">
              <w:rPr>
                <w:rFonts w:cs="Arial"/>
              </w:rPr>
              <w:t>C</w:t>
            </w:r>
          </w:p>
        </w:tc>
        <w:tc>
          <w:tcPr>
            <w:tcW w:w="906" w:type="dxa"/>
            <w:tcBorders>
              <w:bottom w:val="single" w:sz="4" w:space="0" w:color="auto"/>
            </w:tcBorders>
            <w:vAlign w:val="center"/>
          </w:tcPr>
          <w:p w:rsidR="00827F48" w:rsidRPr="00827F48" w:rsidRDefault="00827F48" w:rsidP="004373B5">
            <w:pPr>
              <w:jc w:val="center"/>
              <w:rPr>
                <w:rFonts w:cs="Arial"/>
              </w:rPr>
            </w:pPr>
            <w:r w:rsidRPr="00827F48">
              <w:rPr>
                <w:rFonts w:cs="Arial"/>
              </w:rPr>
              <w:t>-</w:t>
            </w:r>
          </w:p>
        </w:tc>
      </w:tr>
      <w:tr w:rsidR="00827F48" w:rsidRPr="00827F48" w:rsidTr="004373B5">
        <w:tc>
          <w:tcPr>
            <w:tcW w:w="7196" w:type="dxa"/>
            <w:tcBorders>
              <w:bottom w:val="single" w:sz="4" w:space="0" w:color="auto"/>
            </w:tcBorders>
          </w:tcPr>
          <w:p w:rsidR="00827F48" w:rsidRPr="00827F48" w:rsidRDefault="00827F48" w:rsidP="004373B5">
            <w:pPr>
              <w:rPr>
                <w:rFonts w:cs="Arial"/>
              </w:rPr>
            </w:pPr>
            <w:r w:rsidRPr="00827F48">
              <w:rPr>
                <w:rFonts w:cs="Arial"/>
              </w:rPr>
              <w:t xml:space="preserve">Glikemijska kontrola koja se može postići različitim lijekovima za snižavanje glukoze, trebala bi se razmotriti kod pacijenata sa DM i ACS. </w:t>
            </w:r>
          </w:p>
        </w:tc>
        <w:tc>
          <w:tcPr>
            <w:tcW w:w="709" w:type="dxa"/>
            <w:tcBorders>
              <w:bottom w:val="single" w:sz="4" w:space="0" w:color="auto"/>
            </w:tcBorders>
            <w:vAlign w:val="center"/>
          </w:tcPr>
          <w:p w:rsidR="00827F48" w:rsidRPr="00827F48" w:rsidRDefault="00827F48" w:rsidP="004373B5">
            <w:pPr>
              <w:jc w:val="center"/>
              <w:rPr>
                <w:rFonts w:cs="Arial"/>
              </w:rPr>
            </w:pPr>
            <w:r w:rsidRPr="00827F48">
              <w:rPr>
                <w:rFonts w:cs="Arial"/>
              </w:rPr>
              <w:t>IIa</w:t>
            </w:r>
          </w:p>
        </w:tc>
        <w:tc>
          <w:tcPr>
            <w:tcW w:w="765" w:type="dxa"/>
            <w:tcBorders>
              <w:bottom w:val="single" w:sz="4" w:space="0" w:color="auto"/>
            </w:tcBorders>
            <w:vAlign w:val="center"/>
          </w:tcPr>
          <w:p w:rsidR="00827F48" w:rsidRPr="00827F48" w:rsidRDefault="00827F48" w:rsidP="004373B5">
            <w:pPr>
              <w:jc w:val="center"/>
              <w:rPr>
                <w:rFonts w:cs="Arial"/>
              </w:rPr>
            </w:pPr>
            <w:r w:rsidRPr="00827F48">
              <w:rPr>
                <w:rFonts w:cs="Arial"/>
              </w:rPr>
              <w:t>B</w:t>
            </w:r>
          </w:p>
        </w:tc>
        <w:tc>
          <w:tcPr>
            <w:tcW w:w="906" w:type="dxa"/>
            <w:tcBorders>
              <w:bottom w:val="single" w:sz="4" w:space="0" w:color="auto"/>
            </w:tcBorders>
            <w:vAlign w:val="center"/>
          </w:tcPr>
          <w:p w:rsidR="00827F48" w:rsidRPr="00827F48" w:rsidRDefault="00827F48" w:rsidP="004373B5">
            <w:pPr>
              <w:jc w:val="center"/>
              <w:rPr>
                <w:rFonts w:cs="Arial"/>
              </w:rPr>
            </w:pPr>
            <w:r w:rsidRPr="00827F48">
              <w:rPr>
                <w:rFonts w:cs="Arial"/>
              </w:rPr>
              <w:t>224, 226, 228</w:t>
            </w:r>
          </w:p>
        </w:tc>
      </w:tr>
      <w:tr w:rsidR="00827F48" w:rsidRPr="00827F48" w:rsidTr="004373B5">
        <w:tc>
          <w:tcPr>
            <w:tcW w:w="9576" w:type="dxa"/>
            <w:gridSpan w:val="4"/>
            <w:tcBorders>
              <w:left w:val="nil"/>
              <w:bottom w:val="nil"/>
              <w:right w:val="nil"/>
            </w:tcBorders>
          </w:tcPr>
          <w:p w:rsidR="00827F48" w:rsidRPr="00827F48" w:rsidRDefault="00827F48" w:rsidP="004373B5">
            <w:pPr>
              <w:rPr>
                <w:rFonts w:cs="Arial"/>
              </w:rPr>
            </w:pPr>
            <w:r w:rsidRPr="00827F48">
              <w:rPr>
                <w:rFonts w:cs="Arial"/>
              </w:rPr>
              <w:t xml:space="preserve">ACE-I= inhibitori angiotenzin konvertujućeg enzima; ACS=  akutni koronarni sindrom; ADP= adenozin difosfat; ARB= blokatori angiotenzinskih receptora; CAD= koronarno arterijska bolest; CVD = kardiovaskularna bolest; DM = dijabetes melitus; PCI perkutana koronarana intervencija, </w:t>
            </w:r>
          </w:p>
          <w:p w:rsidR="00827F48" w:rsidRPr="00827F48" w:rsidRDefault="00827F48" w:rsidP="004373B5">
            <w:pPr>
              <w:rPr>
                <w:rFonts w:cs="Arial"/>
              </w:rPr>
            </w:pPr>
            <w:r w:rsidRPr="00827F48">
              <w:rPr>
                <w:rFonts w:cs="Arial"/>
                <w:vertAlign w:val="superscript"/>
              </w:rPr>
              <w:t>A</w:t>
            </w:r>
            <w:r w:rsidRPr="00827F48">
              <w:rPr>
                <w:rFonts w:cs="Arial"/>
              </w:rPr>
              <w:t xml:space="preserve"> Klasa preporuka.</w:t>
            </w:r>
          </w:p>
          <w:p w:rsidR="00827F48" w:rsidRPr="00827F48" w:rsidRDefault="00827F48" w:rsidP="004373B5">
            <w:pPr>
              <w:rPr>
                <w:rFonts w:cs="Arial"/>
              </w:rPr>
            </w:pPr>
            <w:r w:rsidRPr="00827F48">
              <w:rPr>
                <w:rFonts w:cs="Arial"/>
                <w:vertAlign w:val="superscript"/>
              </w:rPr>
              <w:t>B</w:t>
            </w:r>
            <w:r w:rsidRPr="00827F48">
              <w:rPr>
                <w:rFonts w:cs="Arial"/>
              </w:rPr>
              <w:t xml:space="preserve"> Nivo dokaza.</w:t>
            </w:r>
          </w:p>
          <w:p w:rsidR="00827F48" w:rsidRPr="00827F48" w:rsidRDefault="00827F48" w:rsidP="004373B5">
            <w:pPr>
              <w:rPr>
                <w:rFonts w:cs="Arial"/>
              </w:rPr>
            </w:pPr>
            <w:r w:rsidRPr="00827F48">
              <w:rPr>
                <w:rFonts w:cs="Arial"/>
                <w:vertAlign w:val="superscript"/>
              </w:rPr>
              <w:t>C</w:t>
            </w:r>
            <w:r w:rsidRPr="00827F48">
              <w:rPr>
                <w:rFonts w:cs="Arial"/>
              </w:rPr>
              <w:t xml:space="preserve"> Reference koje podržavaju dokaze.</w:t>
            </w:r>
          </w:p>
        </w:tc>
      </w:tr>
    </w:tbl>
    <w:p w:rsidR="00827F48" w:rsidRPr="00827F48" w:rsidRDefault="00827F48" w:rsidP="00827F48">
      <w:pPr>
        <w:rPr>
          <w:rFonts w:cs="Times New Roman"/>
          <w:b/>
        </w:rPr>
      </w:pPr>
    </w:p>
    <w:p w:rsidR="00827F48" w:rsidRPr="00827F48" w:rsidRDefault="00827F48" w:rsidP="00827F48">
      <w:pPr>
        <w:rPr>
          <w:rFonts w:cs="Times New Roman"/>
          <w:b/>
        </w:rPr>
      </w:pPr>
      <w:r w:rsidRPr="00827F48">
        <w:rPr>
          <w:rFonts w:cs="Times New Roman"/>
          <w:b/>
        </w:rPr>
        <w:t xml:space="preserve">5.2 Revaskularizacija </w:t>
      </w:r>
    </w:p>
    <w:p w:rsidR="00827F48" w:rsidRPr="00827F48" w:rsidRDefault="00827F48" w:rsidP="00827F48">
      <w:pPr>
        <w:rPr>
          <w:rFonts w:cs="Times New Roman"/>
        </w:rPr>
      </w:pPr>
      <w:r w:rsidRPr="00827F48">
        <w:rPr>
          <w:rFonts w:cs="Times New Roman"/>
        </w:rPr>
        <w:t>Četvrtina vaskularnih revaskularizacija se radi kod DM, i one su pod izazovom zbog više difuzne zastupljenosti ateroskleroze epikardnih sudova, veće sklonosti da se razvije restenoza nakon PCI i okluzije grafta vene safene nakon bajpas graft hirurgije koronarnih arterija (CABG), i uporne aterosklerotske progresije koja izaziva nove stenoze.</w:t>
      </w:r>
      <w:r w:rsidRPr="00827F48">
        <w:rPr>
          <w:rFonts w:cs="Times New Roman"/>
          <w:vertAlign w:val="superscript"/>
        </w:rPr>
        <w:t>236</w:t>
      </w:r>
      <w:r w:rsidRPr="00827F48">
        <w:rPr>
          <w:rFonts w:cs="Times New Roman"/>
        </w:rPr>
        <w:t xml:space="preserve"> Ovo rezultira u višem riziku i dugoročnom mortalitetu nego kod pacijenata koji nemaju DM, nezavisno od modaliteta revaskularizacije.</w:t>
      </w:r>
      <w:r w:rsidRPr="00827F48">
        <w:rPr>
          <w:rFonts w:cs="Times New Roman"/>
          <w:vertAlign w:val="superscript"/>
        </w:rPr>
        <w:t>237</w:t>
      </w:r>
      <w:r w:rsidRPr="00827F48">
        <w:rPr>
          <w:rFonts w:cs="Times New Roman"/>
        </w:rPr>
        <w:t xml:space="preserve"> </w:t>
      </w:r>
    </w:p>
    <w:p w:rsidR="00827F48" w:rsidRPr="00827F48" w:rsidRDefault="00827F48" w:rsidP="00827F48">
      <w:pPr>
        <w:rPr>
          <w:rFonts w:cs="Times New Roman"/>
          <w:b/>
        </w:rPr>
      </w:pPr>
      <w:r w:rsidRPr="00827F48">
        <w:rPr>
          <w:rFonts w:cs="Times New Roman"/>
          <w:b/>
        </w:rPr>
        <w:t xml:space="preserve">5.2.1 Revaskularizacija miokarda kod stabilne i nestabilne koronarne arterijske bolesti </w:t>
      </w:r>
    </w:p>
    <w:p w:rsidR="00827F48" w:rsidRPr="00827F48" w:rsidRDefault="00827F48" w:rsidP="00827F48">
      <w:pPr>
        <w:rPr>
          <w:rFonts w:cs="Times New Roman"/>
        </w:rPr>
      </w:pPr>
      <w:r w:rsidRPr="00827F48">
        <w:rPr>
          <w:rFonts w:cs="Times New Roman"/>
        </w:rPr>
        <w:t>Stabilna bolest koronarnih arterija. Randomizirano poređenje revaskularizacije miokarda- bilo sa CABG ili PCI – u odnosu na optimaln medikamentozni tretman (OMT), kod pacijenata sa DM koji se smatraju odgovarajućim za ovaj pristup, obavljeno je u Bypass Angioplasty Revascularization Investigation 2 Diabetes (BARI 2D) studija.</w:t>
      </w:r>
      <w:r w:rsidRPr="00827F48">
        <w:rPr>
          <w:rFonts w:cs="Times New Roman"/>
          <w:vertAlign w:val="superscript"/>
        </w:rPr>
        <w:t>238</w:t>
      </w:r>
      <w:r w:rsidRPr="00827F48">
        <w:rPr>
          <w:rFonts w:cs="Times New Roman"/>
        </w:rPr>
        <w:t xml:space="preserve"> Nakon pet godina, nikakve značajne razlike nisu primjećene zajedničkim krajnjim tačkama istraživanja, smrti, MI, moždanog udara između OMT (12%) i revaskularizacijone (12%) grupe. U hiruškoj grupi, izostanak glavnih srčanih i cerebrovaskularnih neželjenih efekta (MACCE) je bio značajno viši sa CABG (78%) nego samo sa OMT (70%; P = 0.01), ali nije bilo razlike u preživljavanju (CABG 86%; OMT 84%; P = 0.33). U PCI grupi, napravljenoj od pacijenata sa manje izraženom CAD nego u CABG grupi, nije bilo značajne razlike u MACCE ili preživljavanju između PCI i OMT. Tokom narednog praćenja, 38% pacijenata koji su određeni za OMT, podvrgnuli su se barem jednoj revaskularizaciji zbog simptomatskih razloga, u odnosu na 20% u grupi revaskularizovanih, što je pokazalo da je incijalna konzervativna strategija sa OMT uštedila oko 80% intervencija tokom narednih 5 godina. Sveukupno, osim u specifičnim slučajevima kao što je stenoza lijeve glavne koronarne arterije ≥ 50%, stenoza proksimalne LAD, ili trosudovna bolest sa oštećenom funkcijom LV, revaskularizacija miokarda kod pacijenata sa DM nije poboljšala preživljavanje, u odnosu na medikamentoznu terrapiju. Vrijedno je pomena da su pacijenti bili isključivani ako su zahtjevali neposrednu revaskularizaciju ili su imali koronarnu bolest lijeve glavne grane, nivo kreatinina &gt; 2.0 mg/dl (&gt;177μmol/l), HbA1c &gt;13.0%, Klasu III- IV srčane insuficijencije ili im je urađen PCI ili CABG unutar zadnjih 12 mjeseci. </w:t>
      </w:r>
    </w:p>
    <w:p w:rsidR="00827F48" w:rsidRPr="00827F48" w:rsidRDefault="00827F48" w:rsidP="00827F48">
      <w:pPr>
        <w:rPr>
          <w:rFonts w:cs="Times New Roman"/>
        </w:rPr>
      </w:pPr>
      <w:r w:rsidRPr="00827F48">
        <w:rPr>
          <w:rFonts w:cs="Times New Roman"/>
        </w:rPr>
        <w:t xml:space="preserve">Akutni koronarni sindrom. Nije primjećena nikakva veza između između efekata revaskularizacije miokarda i prisustva DM u studijama o ACS sa ST- elevacijom. Rana invazivna strategija je popravila u </w:t>
      </w:r>
      <w:r w:rsidRPr="00827F48">
        <w:rPr>
          <w:rFonts w:cs="Times New Roman"/>
        </w:rPr>
        <w:lastRenderedPageBreak/>
        <w:t>ukupnoj populaciji, sa većim benefitom za pacijente sa DM  u Treat angina with Aggrastat and determine Cost of Therapy with an Invasive or Coneravative Strategy-Thrombolysis In Myocardial Infarction (TACTICS-TIMI 18) studiji.</w:t>
      </w:r>
      <w:r w:rsidRPr="00827F48">
        <w:rPr>
          <w:rFonts w:cs="Times New Roman"/>
          <w:vertAlign w:val="superscript"/>
        </w:rPr>
        <w:t>239-241</w:t>
      </w:r>
      <w:r w:rsidRPr="00827F48">
        <w:rPr>
          <w:rFonts w:cs="Times New Roman"/>
        </w:rPr>
        <w:t xml:space="preserve"> Kod STEMI pacijenata, u izdvojenoj analizi individualnih podataka pacijenata, iz 19 RCTs koje su poredile primarnu PCI sa fibrinolizom, pokazala je da su pacijenti sa DM tretiranu sa reperfuzionom terapijom imali povećan mortalitet, u odnosu na one bez DM. Benefiti primarne PCI, u odnosu fibrinolizu su, međutim, bili isti kako kod pacijenata sa tako i onih bez DM.</w:t>
      </w:r>
      <w:r w:rsidRPr="00827F48">
        <w:rPr>
          <w:rFonts w:cs="Times New Roman"/>
          <w:vertAlign w:val="superscript"/>
        </w:rPr>
        <w:t>242</w:t>
      </w:r>
      <w:r w:rsidRPr="00827F48">
        <w:rPr>
          <w:rFonts w:cs="Times New Roman"/>
        </w:rPr>
        <w:t xml:space="preserve"> Pacijenti sa DM su imali značajno odlaganje započinjanja reperfuzione terapije i duže vrijeme ishemije, ali redukcija 30-dnevnog mortaliteta u grupi pacijenata podvrgnutoj primarnoj PCI, je bila najizraženija u ovoj grupi. Zbog višeg apsolutnog rizika, NNT da bi se sačuvao nečiji život unutar 30 dana je bio značajno niži za DM (NNT 17; 95% CI 11-28) nego kod pacijenata bez DM (NNT 48; 95% CI 37-60). </w:t>
      </w:r>
    </w:p>
    <w:p w:rsidR="00827F48" w:rsidRPr="00827F48" w:rsidRDefault="00827F48" w:rsidP="00827F48">
      <w:pPr>
        <w:rPr>
          <w:rFonts w:cs="Times New Roman"/>
          <w:b/>
        </w:rPr>
      </w:pPr>
      <w:r w:rsidRPr="00827F48">
        <w:rPr>
          <w:rFonts w:cs="Times New Roman"/>
          <w:b/>
        </w:rPr>
        <w:t xml:space="preserve">5.2.2 Tip intervencije: koronarni bajpas graft vs. perkutana intervencija </w:t>
      </w:r>
    </w:p>
    <w:p w:rsidR="00827F48" w:rsidRPr="00827F48" w:rsidRDefault="00827F48" w:rsidP="00827F48">
      <w:pPr>
        <w:rPr>
          <w:rFonts w:cs="Times New Roman"/>
        </w:rPr>
      </w:pPr>
      <w:r w:rsidRPr="00827F48">
        <w:rPr>
          <w:rFonts w:cs="Times New Roman"/>
        </w:rPr>
        <w:t>Meta-analiza bazirana na individualnim podacima, iz 10 RCTs koja poredi oba tipa revaskularizacije, sugerisala je značajnu prednost u preživljavanju za CABG u pacijenata sa DM.</w:t>
      </w:r>
      <w:r w:rsidRPr="00827F48">
        <w:rPr>
          <w:rFonts w:cs="Times New Roman"/>
          <w:vertAlign w:val="superscript"/>
        </w:rPr>
        <w:t>237</w:t>
      </w:r>
      <w:r w:rsidRPr="00827F48">
        <w:rPr>
          <w:rFonts w:cs="Times New Roman"/>
        </w:rPr>
        <w:t xml:space="preserve"> Petogodišnji mortalitet je bio 20% sa PCI, u poređenju sa 12% sa CABG (OR 0.7; 95% CI 0.6-0.9), dok nikakva razlika nije nađena za pacijente bez DM. Specifično poređenje efikasnosti i sigurnosti za PCI i CABG kod pacijenata sa DM je izvedeno u Coronary Artery Revascularisation in Diabetes (CARDia) studija.</w:t>
      </w:r>
      <w:r w:rsidRPr="00827F48">
        <w:rPr>
          <w:rFonts w:cs="Times New Roman"/>
          <w:vertAlign w:val="superscript"/>
        </w:rPr>
        <w:t>243</w:t>
      </w:r>
      <w:r w:rsidRPr="00827F48">
        <w:rPr>
          <w:rFonts w:cs="Times New Roman"/>
        </w:rPr>
        <w:t xml:space="preserve"> Uvođenje stenta sa oslobađajućim lijekom (DES), koincidiralo je sa periodom sprovođena studije, dovodeći do mješane upotrebe golog metelnog stenta (BMS) (31%) i DES (69%). Nakon jedne godine nije bilo značajno više stope smrti od MI, moždanog udara (pokrenut većeom stopom MI), i značajno višim stopama ponovljenih revaskularizacija u PCI grupi (2 vs. 12% P&lt; 0.001).</w:t>
      </w:r>
    </w:p>
    <w:p w:rsidR="00827F48" w:rsidRPr="00827F48" w:rsidRDefault="00827F48" w:rsidP="00827F48">
      <w:pPr>
        <w:rPr>
          <w:rFonts w:cs="Times New Roman"/>
        </w:rPr>
      </w:pPr>
      <w:r w:rsidRPr="00827F48">
        <w:rPr>
          <w:rFonts w:cs="Times New Roman"/>
        </w:rPr>
        <w:t>Literatura o CABG vs. PCI je zbunjena pristrasnošču urednika u registrima, trenutnim razvojem DES i – osim FREEDOM studije- nedostatkom prospektivnih RCTs. Implikacija je da je većina dostupnih informacija zasnovana na subgrupnoj analizi studija u kojoj pacijenata sa DM može da bude malo ili su selektovani. Kao posljedica povećanog broja ponovljenih revaskularizacija u SYNergy between percutaneous of increased repeat revascularisation in the TAXus and cardiac surgery (SYNTAX) studiji,</w:t>
      </w:r>
      <w:r w:rsidRPr="00827F48">
        <w:rPr>
          <w:rFonts w:cs="Times New Roman"/>
          <w:vertAlign w:val="superscript"/>
        </w:rPr>
        <w:t>244</w:t>
      </w:r>
      <w:r w:rsidRPr="00827F48">
        <w:rPr>
          <w:rFonts w:cs="Times New Roman"/>
        </w:rPr>
        <w:t xml:space="preserve"> izvedenoj u eri DES (koristeći paklitaksel oslobađajuće stentove), stopa MACCE nakon jedne godine bila je dvostruko većai sa PCI, u poređenju sa CABG. Nakon 5 godina, stope praćenih MACCE su bile značajno veće kod DM, kada se porede PCI sa CABG (PCI 46% vs. CABG 14.6%; P &lt; 0.001), kao i za ponovljenu revaskularizaciju (PCI 35.3% vs. CABG 14.6%; P &lt; 0.001).  Nije bilo razlike u sastavu svih uzroka mortaliteta/ moždanog udara/MI (PCI 23.9% vs.CABG 19.1%; P = 0.26). Zaključeno je da, iako je PCI potencijalna opcija za liječenje kod pacijenata sa manje kompleksnim lezijama, CABG bi trebao da bude opcija za revaskularizaciju za pacijente sa DM sa bolešću koja ima komplesnu anatomiju.</w:t>
      </w:r>
      <w:r w:rsidRPr="00827F48">
        <w:rPr>
          <w:rFonts w:cs="Times New Roman"/>
          <w:vertAlign w:val="superscript"/>
        </w:rPr>
        <w:t>245</w:t>
      </w:r>
      <w:r w:rsidRPr="00827F48">
        <w:rPr>
          <w:rFonts w:cs="Times New Roman"/>
        </w:rPr>
        <w:t xml:space="preserve"> Podaci dobijeni iz skorašnjih registara podržavaju bolji ishod za DM tretiran sa CABG, u poređenju sa DES, čak i po pitanju mortaliteta, na račun više stope moždanih udara sa CABG.</w:t>
      </w:r>
      <w:r w:rsidRPr="00827F48">
        <w:rPr>
          <w:rFonts w:cs="Times New Roman"/>
          <w:vertAlign w:val="superscript"/>
        </w:rPr>
        <w:t>246</w:t>
      </w:r>
      <w:r w:rsidRPr="00827F48">
        <w:rPr>
          <w:rFonts w:cs="Times New Roman"/>
        </w:rPr>
        <w:t xml:space="preserve"> U analizi 86 244 pacijenta ≥ 65 godina starosti koji su podvrgnuti CABG i 103 549 pacijenta koji su podvrgnuti PCI od 2004 do 2008, četvorogodišnje preživljavanje je bilo zančajno veće sa urađenom hirurgijom i povezanost hirurgije sa poboljšanim preživljavanjem je bilo najizraženije u grubi dijabetičara tretiranih insulinom.</w:t>
      </w:r>
      <w:r w:rsidRPr="00827F48">
        <w:rPr>
          <w:rFonts w:cs="Times New Roman"/>
          <w:vertAlign w:val="superscript"/>
        </w:rPr>
        <w:t>247</w:t>
      </w:r>
      <w:r w:rsidRPr="00827F48">
        <w:rPr>
          <w:rFonts w:cs="Times New Roman"/>
        </w:rPr>
        <w:t xml:space="preserve"> </w:t>
      </w:r>
    </w:p>
    <w:p w:rsidR="00827F48" w:rsidRPr="00827F48" w:rsidRDefault="00827F48" w:rsidP="00827F48">
      <w:pPr>
        <w:rPr>
          <w:rFonts w:cs="Times New Roman"/>
        </w:rPr>
      </w:pPr>
      <w:r w:rsidRPr="00827F48">
        <w:rPr>
          <w:rFonts w:cs="Times New Roman"/>
        </w:rPr>
        <w:t xml:space="preserve">FREEDOM studija je randomizirala je 1900 pacijenata, od kojih je većina bila sa trosudovnom bolešću, na one tretirane sa CABG ili PCI sa sakrolimus oslobađajućim stentom i paklitaksel oslobađajućim stentom. Svima je propisana terapija koja se trenutno preporučuje za kontrolu LDL-C, sistolni BP i </w:t>
      </w:r>
      <w:r w:rsidRPr="00827F48">
        <w:rPr>
          <w:rFonts w:cs="Times New Roman"/>
        </w:rPr>
        <w:lastRenderedPageBreak/>
        <w:t>HbA1c. Primarni rezultati su se sastojali od ukupnog moratliteta i nefatalnog MI i moždanog udara. Nakon medijane od 3.8 godina, primarni ishod se javljao učestalije u PCI grupi (P= 0.005), sa petogodišnjom stopom od 26.6%, u poređenju sa 18.7% u CABG grupi. Benefiti CABG su bili vođeni razlikom i u MI (P&lt; 0.001) i mortalitetu (P= 0.049). Zaključeno je da je CABG superiorniji u odnosu na PCI za pacijente sa DM i uznapredovalom CAD (Figure 3). Nije bilo značajne interakcije bazirane na SYNTAX skoru, jer je apsolutna razlika u primarnoj krajnjoj tački između PCI i CABG, bila slična kod pacijenata sa malim, umjerenim i visokim SYNTAX skorom. Obzirom na širok varijabilitet uklučenih u Future Revascularisation Evaluatin in patients with Diabetes mellitus: Optimal management of Multivessel disease (FREEDOM), studiju, ona predstavlja stvarnu svjetsku praksu. Dalje analize su otkrile da, u poređenju sa PCI, CABG bila isplativa strategija.</w:t>
      </w:r>
      <w:r w:rsidRPr="00827F48">
        <w:rPr>
          <w:rFonts w:cs="Times New Roman"/>
          <w:vertAlign w:val="superscript"/>
        </w:rPr>
        <w:t>248,249</w:t>
      </w:r>
      <w:r w:rsidRPr="00827F48">
        <w:rPr>
          <w:rFonts w:cs="Times New Roman"/>
        </w:rPr>
        <w:t xml:space="preserve"> Individualna procjena rizika i razgovor sa pacijentom je obavezan prije nego se odluči koja će se procedura uraditi.</w:t>
      </w:r>
      <w:r w:rsidRPr="00827F48">
        <w:rPr>
          <w:rFonts w:cs="Times New Roman"/>
          <w:vertAlign w:val="superscript"/>
        </w:rPr>
        <w:t>212</w:t>
      </w:r>
      <w:r w:rsidRPr="00827F48">
        <w:rPr>
          <w:rFonts w:cs="Times New Roman"/>
        </w:rPr>
        <w:t xml:space="preserve"> </w:t>
      </w:r>
    </w:p>
    <w:p w:rsidR="00827F48" w:rsidRPr="00827F48" w:rsidRDefault="00827F48" w:rsidP="00827F48">
      <w:pPr>
        <w:rPr>
          <w:rFonts w:cs="Times New Roman"/>
        </w:rPr>
      </w:pPr>
      <w:r w:rsidRPr="00827F48">
        <w:rPr>
          <w:rFonts w:cs="Times New Roman"/>
          <w:noProof/>
          <w:lang w:val="en-US"/>
        </w:rPr>
        <w:drawing>
          <wp:inline distT="0" distB="0" distL="0" distR="0">
            <wp:extent cx="5943600" cy="2810978"/>
            <wp:effectExtent l="19050" t="0" r="0" b="0"/>
            <wp:docPr id="1" name="Picture 1" descr="D:\ПОСАО\Prevodi radovi za Vulica i za Keselj\prediabetes prevod za Vulica\Grafika jedi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ПОСАО\Prevodi radovi za Vulica i za Keselj\prediabetes prevod za Vulica\Grafika jedina.jpg"/>
                    <pic:cNvPicPr>
                      <a:picLocks noChangeAspect="1" noChangeArrowheads="1"/>
                    </pic:cNvPicPr>
                  </pic:nvPicPr>
                  <pic:blipFill>
                    <a:blip r:embed="rId8" cstate="print"/>
                    <a:srcRect/>
                    <a:stretch>
                      <a:fillRect/>
                    </a:stretch>
                  </pic:blipFill>
                  <pic:spPr bwMode="auto">
                    <a:xfrm>
                      <a:off x="0" y="0"/>
                      <a:ext cx="5943600" cy="2810978"/>
                    </a:xfrm>
                    <a:prstGeom prst="rect">
                      <a:avLst/>
                    </a:prstGeom>
                    <a:noFill/>
                    <a:ln w="9525">
                      <a:noFill/>
                      <a:miter lim="800000"/>
                      <a:headEnd/>
                      <a:tailEnd/>
                    </a:ln>
                  </pic:spPr>
                </pic:pic>
              </a:graphicData>
            </a:graphic>
          </wp:inline>
        </w:drawing>
      </w:r>
    </w:p>
    <w:p w:rsidR="00827F48" w:rsidRPr="00827F48" w:rsidRDefault="00827F48" w:rsidP="00827F48">
      <w:pPr>
        <w:rPr>
          <w:rFonts w:cs="Times New Roman"/>
          <w:b/>
        </w:rPr>
      </w:pPr>
      <w:r w:rsidRPr="00827F48">
        <w:rPr>
          <w:rFonts w:cs="Times New Roman"/>
          <w:b/>
        </w:rPr>
        <w:t xml:space="preserve">5.2.3 Specifični aspekti perkutane i hiruške revskularizacije u dijabetesu melitusu </w:t>
      </w:r>
    </w:p>
    <w:p w:rsidR="00827F48" w:rsidRPr="00827F48" w:rsidRDefault="00827F48" w:rsidP="00827F48">
      <w:pPr>
        <w:rPr>
          <w:rFonts w:cs="Times New Roman"/>
        </w:rPr>
      </w:pPr>
      <w:r w:rsidRPr="00827F48">
        <w:rPr>
          <w:rFonts w:cs="Times New Roman"/>
        </w:rPr>
        <w:t>DIABETES studija (dijabetes i sakrolimus- oslobađajući stent studija), demonstrirala je zanačajnu redukciju u revaskularizaciji ciljanih krvnih sudova u pacijenata sa DM, tretiranih sa sakrolimus oslobađajućim stentovima (7%) vs. BMS (31%).</w:t>
      </w:r>
      <w:r w:rsidRPr="00827F48">
        <w:rPr>
          <w:rFonts w:cs="Times New Roman"/>
          <w:vertAlign w:val="superscript"/>
        </w:rPr>
        <w:t>250</w:t>
      </w:r>
      <w:r w:rsidRPr="00827F48">
        <w:rPr>
          <w:rFonts w:cs="Times New Roman"/>
        </w:rPr>
        <w:t xml:space="preserve"> Otkrića su dobila dalju podršku od meta-analize 35 studija koje su poredile DES sa BMS,</w:t>
      </w:r>
      <w:r w:rsidRPr="00827F48">
        <w:rPr>
          <w:rFonts w:cs="Times New Roman"/>
          <w:vertAlign w:val="superscript"/>
        </w:rPr>
        <w:t>251</w:t>
      </w:r>
      <w:r w:rsidRPr="00827F48">
        <w:rPr>
          <w:rFonts w:cs="Times New Roman"/>
        </w:rPr>
        <w:t xml:space="preserve"> koji su pokazali sličnu efikasnost sakrolimus oslobađajućih stentova i paklitaksel oslobađajućih stentova i to (OR 0.29 za sakrolimus; 0.38 za paklitaksel), obezbjedio dvojnu antiagregacionu terapiju nakon implantacije DES bila je nastavljena &gt;6 mjeseci. Rizik od smrti povezan sa sakrolimus oslobađajućim stentovima bio je više od dva puta povećan nego kod BMS u osam studija sa dvojnom antiagregacionom terapijom tokom manje od šest mjeseci. Nasuprot tome, nije bilo povezanog rizika sa upotrebom DES u 27 studija sa dvojnom antiagregacionom terapijom zastupljenom tokom duže od šest mjeseci. </w:t>
      </w:r>
    </w:p>
    <w:p w:rsidR="00827F48" w:rsidRPr="00827F48" w:rsidRDefault="00827F48" w:rsidP="00827F48">
      <w:pPr>
        <w:rPr>
          <w:rFonts w:cs="Times New Roman"/>
        </w:rPr>
      </w:pPr>
      <w:r w:rsidRPr="00827F48">
        <w:rPr>
          <w:rFonts w:cs="Times New Roman"/>
        </w:rPr>
        <w:t>Analiza National Heart, Lung i Blood Institute Dynamic Registry podataka, otkrila je, da u poređenju sa BMS, DES su bili povezani sa manjim brojem ponovljenih revaskularizacija- na sličan obim u grupi sa DM tretiranoj insulinom kao i u grupi koja nije tretirana insulinom.</w:t>
      </w:r>
      <w:r w:rsidRPr="00827F48">
        <w:rPr>
          <w:rFonts w:cs="Times New Roman"/>
          <w:vertAlign w:val="superscript"/>
        </w:rPr>
        <w:t xml:space="preserve">252 </w:t>
      </w:r>
      <w:r w:rsidRPr="00827F48">
        <w:rPr>
          <w:rFonts w:cs="Times New Roman"/>
        </w:rPr>
        <w:t xml:space="preserve">Konačno, druga generacija everolimus oslobađajućih stentova nisu bile superiornije u smislu insuficijencije ciljanih lezija nakon jedne godine praćenja u naizmjeničnom poređenju sa paklitaksel oslobađajućim stentovima, dok su </w:t>
      </w:r>
      <w:r w:rsidRPr="00827F48">
        <w:rPr>
          <w:rFonts w:cs="Times New Roman"/>
        </w:rPr>
        <w:lastRenderedPageBreak/>
        <w:t>zotarolimus oslobađajući stentovi  bili inferiorniji u odnosu na sakrolimus oslobađajuće stentove kod pacijenata sa DM.</w:t>
      </w:r>
      <w:r w:rsidRPr="00827F48">
        <w:rPr>
          <w:rFonts w:cs="Times New Roman"/>
          <w:vertAlign w:val="superscript"/>
        </w:rPr>
        <w:t>153,254</w:t>
      </w:r>
      <w:r w:rsidRPr="00827F48">
        <w:rPr>
          <w:rFonts w:cs="Times New Roman"/>
        </w:rPr>
        <w:t xml:space="preserve"> </w:t>
      </w:r>
    </w:p>
    <w:p w:rsidR="00827F48" w:rsidRPr="00827F48" w:rsidRDefault="00827F48" w:rsidP="00827F48">
      <w:pPr>
        <w:rPr>
          <w:rFonts w:cs="Times New Roman"/>
        </w:rPr>
      </w:pPr>
      <w:r w:rsidRPr="00827F48">
        <w:rPr>
          <w:rFonts w:cs="Times New Roman"/>
        </w:rPr>
        <w:t>Antiagreagaciono liječenje u pacijenata koji imaju DM koji se podvrgavaju koronarnoj revaskularizaciji radi stabilne angine pektoris ili ACS ne razlikuje se od onog kod pacijenata bez DM.</w:t>
      </w:r>
      <w:r w:rsidRPr="00827F48">
        <w:rPr>
          <w:rFonts w:cs="Times New Roman"/>
          <w:vertAlign w:val="superscript"/>
        </w:rPr>
        <w:t>255-257</w:t>
      </w:r>
      <w:r w:rsidRPr="00827F48">
        <w:rPr>
          <w:rFonts w:cs="Times New Roman"/>
        </w:rPr>
        <w:t xml:space="preserve"> Inicijalna istraživanja glikoproteinskih inhibitora IIb/Iia receptora, prijavila su interakciju kod DM, ali ovo nije potvrđeno u nedavnoj Intracoronary Stenting and Antithrombotic Regiment: Rapid Early Action for Coronary Treatment (ISAR-REACT 2) studiji.</w:t>
      </w:r>
      <w:r w:rsidRPr="00827F48">
        <w:rPr>
          <w:rFonts w:cs="Times New Roman"/>
          <w:vertAlign w:val="superscript"/>
        </w:rPr>
        <w:t>258</w:t>
      </w:r>
      <w:r w:rsidRPr="00827F48">
        <w:rPr>
          <w:rFonts w:cs="Times New Roman"/>
        </w:rPr>
        <w:t xml:space="preserve"> Prasugrel je superiorniji od klopidogrela u redukciji krajnjeg shoda u smislu kardiovaskularne smrti ili MI ili moždanog udara bez ekscesivnog velikog krvarenje. Slično, tikagrelor, u poređenju sa klopidogreom u PLATO ( Platelet inhibition and patient outcomes) studija, smanjila je stopu ishemičnih događaja kod pacijenata sa ACS, nezavisno od prisustva DM, bez povećanja glavnih krvarećih događaja.</w:t>
      </w:r>
      <w:r w:rsidRPr="00827F48">
        <w:rPr>
          <w:rFonts w:cs="Times New Roman"/>
          <w:vertAlign w:val="superscript"/>
        </w:rPr>
        <w:t>192,194</w:t>
      </w:r>
    </w:p>
    <w:p w:rsidR="00827F48" w:rsidRPr="00827F48" w:rsidRDefault="00827F48" w:rsidP="00827F48">
      <w:pPr>
        <w:rPr>
          <w:rFonts w:cs="Times New Roman"/>
        </w:rPr>
      </w:pPr>
      <w:r w:rsidRPr="00827F48">
        <w:rPr>
          <w:rFonts w:cs="Times New Roman"/>
        </w:rPr>
        <w:t>Pacijenti sa DM koji se podvrgavaju CABG često zahtjevaju višebrojne graftove. Ne postoje randomizirani dokazi koji se tiču upotrebe jedne vs. dvije toraklne arterije (ITA) za kanalizaciju u DM. Iako opservacioni podaci sugerišu da korišćenje bilateralne ITA kanalizacije popravlja ishod pacijenata bez kopromitacije sternalne stabilnosti, o korišćenju bilaterlne ITA kanalizacije se još uvijek raspravlja, obzirom na višu prevalencu infekcije rana i medijastinitisa kod pacijenata sa DM.</w:t>
      </w:r>
      <w:r w:rsidRPr="00827F48">
        <w:rPr>
          <w:rFonts w:cs="Times New Roman"/>
          <w:vertAlign w:val="superscript"/>
        </w:rPr>
        <w:t>259</w:t>
      </w:r>
      <w:r w:rsidRPr="00827F48">
        <w:rPr>
          <w:rFonts w:cs="Times New Roman"/>
        </w:rPr>
        <w:t xml:space="preserve"> Nedavna meta-analiza je pokazala da ITA žetva pomoću skeletonizacije (bez satelitskih vena i fascija) smanjuje rizik od sternalne infekcije rane kod pacijenata sa DM koji se podvragavaju bilateralnom ITA graftingu,</w:t>
      </w:r>
      <w:r w:rsidRPr="00827F48">
        <w:rPr>
          <w:rFonts w:cs="Times New Roman"/>
          <w:vertAlign w:val="superscript"/>
        </w:rPr>
        <w:t>260</w:t>
      </w:r>
      <w:r w:rsidRPr="00827F48">
        <w:rPr>
          <w:rFonts w:cs="Times New Roman"/>
        </w:rPr>
        <w:t xml:space="preserve"> iako nema randomiziranih studija na ovim subjektima. </w:t>
      </w:r>
    </w:p>
    <w:tbl>
      <w:tblPr>
        <w:tblStyle w:val="TableGrid"/>
        <w:tblW w:w="0" w:type="auto"/>
        <w:tblLook w:val="04A0" w:firstRow="1" w:lastRow="0" w:firstColumn="1" w:lastColumn="0" w:noHBand="0" w:noVBand="1"/>
      </w:tblPr>
      <w:tblGrid>
        <w:gridCol w:w="6652"/>
        <w:gridCol w:w="847"/>
        <w:gridCol w:w="843"/>
        <w:gridCol w:w="946"/>
      </w:tblGrid>
      <w:tr w:rsidR="00827F48" w:rsidRPr="00827F48" w:rsidTr="004373B5">
        <w:tc>
          <w:tcPr>
            <w:tcW w:w="9576" w:type="dxa"/>
            <w:gridSpan w:val="4"/>
            <w:tcBorders>
              <w:top w:val="nil"/>
              <w:left w:val="nil"/>
              <w:right w:val="nil"/>
            </w:tcBorders>
          </w:tcPr>
          <w:p w:rsidR="00827F48" w:rsidRPr="00827F48" w:rsidRDefault="00827F48" w:rsidP="004373B5">
            <w:pPr>
              <w:rPr>
                <w:rFonts w:cs="Arial"/>
              </w:rPr>
            </w:pPr>
            <w:r w:rsidRPr="00827F48">
              <w:rPr>
                <w:rFonts w:cs="Arial"/>
              </w:rPr>
              <w:t>Preporuke za koronarnu revaskularizaciju pacijenata sa dijabetesom</w:t>
            </w:r>
          </w:p>
        </w:tc>
      </w:tr>
      <w:tr w:rsidR="00827F48" w:rsidRPr="00827F48" w:rsidTr="004373B5">
        <w:tc>
          <w:tcPr>
            <w:tcW w:w="9576" w:type="dxa"/>
            <w:gridSpan w:val="4"/>
          </w:tcPr>
          <w:p w:rsidR="00827F48" w:rsidRPr="00827F48" w:rsidRDefault="00827F48" w:rsidP="004373B5">
            <w:pPr>
              <w:rPr>
                <w:rFonts w:cs="Arial"/>
              </w:rPr>
            </w:pPr>
            <w:r w:rsidRPr="00827F48">
              <w:rPr>
                <w:rFonts w:cs="Arial"/>
              </w:rPr>
              <w:t>Koronarna revaskularizacija pacijenata sa dijabetesom</w:t>
            </w:r>
          </w:p>
        </w:tc>
      </w:tr>
      <w:tr w:rsidR="00827F48" w:rsidRPr="00827F48" w:rsidTr="004373B5">
        <w:tc>
          <w:tcPr>
            <w:tcW w:w="6912" w:type="dxa"/>
          </w:tcPr>
          <w:p w:rsidR="00827F48" w:rsidRPr="00827F48" w:rsidRDefault="00827F48" w:rsidP="004373B5">
            <w:pPr>
              <w:rPr>
                <w:rFonts w:cs="Arial"/>
                <w:b/>
              </w:rPr>
            </w:pPr>
            <w:r w:rsidRPr="00827F48">
              <w:rPr>
                <w:rFonts w:cs="Arial"/>
                <w:b/>
              </w:rPr>
              <w:t xml:space="preserve">Preporuke </w:t>
            </w:r>
          </w:p>
        </w:tc>
        <w:tc>
          <w:tcPr>
            <w:tcW w:w="851" w:type="dxa"/>
          </w:tcPr>
          <w:p w:rsidR="00827F48" w:rsidRPr="00827F48" w:rsidRDefault="00827F48" w:rsidP="004373B5">
            <w:pPr>
              <w:rPr>
                <w:rFonts w:cs="Arial"/>
                <w:b/>
              </w:rPr>
            </w:pPr>
            <w:r w:rsidRPr="00827F48">
              <w:rPr>
                <w:rFonts w:cs="Arial"/>
                <w:b/>
              </w:rPr>
              <w:t>Klasa</w:t>
            </w:r>
            <w:r w:rsidRPr="00827F48">
              <w:rPr>
                <w:rFonts w:cs="Arial"/>
                <w:b/>
                <w:vertAlign w:val="superscript"/>
              </w:rPr>
              <w:t>a</w:t>
            </w:r>
          </w:p>
        </w:tc>
        <w:tc>
          <w:tcPr>
            <w:tcW w:w="850" w:type="dxa"/>
          </w:tcPr>
          <w:p w:rsidR="00827F48" w:rsidRPr="00827F48" w:rsidRDefault="00827F48" w:rsidP="004373B5">
            <w:pPr>
              <w:rPr>
                <w:rFonts w:cs="Arial"/>
                <w:b/>
              </w:rPr>
            </w:pPr>
            <w:r w:rsidRPr="00827F48">
              <w:rPr>
                <w:rFonts w:cs="Arial"/>
                <w:b/>
              </w:rPr>
              <w:t>Nivo</w:t>
            </w:r>
            <w:r w:rsidRPr="00827F48">
              <w:rPr>
                <w:rFonts w:cs="Arial"/>
                <w:b/>
                <w:vertAlign w:val="superscript"/>
              </w:rPr>
              <w:t>b</w:t>
            </w:r>
          </w:p>
        </w:tc>
        <w:tc>
          <w:tcPr>
            <w:tcW w:w="963" w:type="dxa"/>
          </w:tcPr>
          <w:p w:rsidR="00827F48" w:rsidRPr="00827F48" w:rsidRDefault="00827F48" w:rsidP="004373B5">
            <w:pPr>
              <w:rPr>
                <w:rFonts w:cs="Arial"/>
                <w:b/>
              </w:rPr>
            </w:pPr>
            <w:r w:rsidRPr="00827F48">
              <w:rPr>
                <w:rFonts w:cs="Arial"/>
                <w:b/>
              </w:rPr>
              <w:t>Ref.</w:t>
            </w:r>
            <w:r w:rsidRPr="00827F48">
              <w:rPr>
                <w:rFonts w:cs="Arial"/>
                <w:b/>
                <w:vertAlign w:val="superscript"/>
              </w:rPr>
              <w:t>c</w:t>
            </w:r>
          </w:p>
        </w:tc>
      </w:tr>
      <w:tr w:rsidR="00827F48" w:rsidRPr="00827F48" w:rsidTr="004373B5">
        <w:tc>
          <w:tcPr>
            <w:tcW w:w="6912" w:type="dxa"/>
          </w:tcPr>
          <w:p w:rsidR="00827F48" w:rsidRPr="00827F48" w:rsidRDefault="00827F48" w:rsidP="004373B5">
            <w:pPr>
              <w:rPr>
                <w:rFonts w:cs="Arial"/>
              </w:rPr>
            </w:pPr>
            <w:r w:rsidRPr="00827F48">
              <w:rPr>
                <w:rFonts w:cs="Arial"/>
              </w:rPr>
              <w:t>Trebao bi se razmotriti optimalni medimanetozni tretman kao tretman izbora kod pacijenata sa stabilnom CAD i DM osim ako ne postoje velika područja ishemije ili značajna stenoza lijeve glave ili prokismalne LAD.</w:t>
            </w:r>
          </w:p>
        </w:tc>
        <w:tc>
          <w:tcPr>
            <w:tcW w:w="851" w:type="dxa"/>
            <w:vAlign w:val="center"/>
          </w:tcPr>
          <w:p w:rsidR="00827F48" w:rsidRPr="00827F48" w:rsidRDefault="00827F48" w:rsidP="004373B5">
            <w:pPr>
              <w:jc w:val="center"/>
              <w:rPr>
                <w:rFonts w:cs="Arial"/>
              </w:rPr>
            </w:pPr>
            <w:r w:rsidRPr="00827F48">
              <w:rPr>
                <w:rFonts w:cs="Arial"/>
              </w:rPr>
              <w:t>IIa</w:t>
            </w:r>
          </w:p>
        </w:tc>
        <w:tc>
          <w:tcPr>
            <w:tcW w:w="850" w:type="dxa"/>
            <w:vAlign w:val="center"/>
          </w:tcPr>
          <w:p w:rsidR="00827F48" w:rsidRPr="00827F48" w:rsidRDefault="00827F48" w:rsidP="004373B5">
            <w:pPr>
              <w:jc w:val="center"/>
              <w:rPr>
                <w:rFonts w:cs="Arial"/>
              </w:rPr>
            </w:pPr>
            <w:r w:rsidRPr="00827F48">
              <w:rPr>
                <w:rFonts w:cs="Arial"/>
              </w:rPr>
              <w:t>B</w:t>
            </w:r>
          </w:p>
        </w:tc>
        <w:tc>
          <w:tcPr>
            <w:tcW w:w="963" w:type="dxa"/>
            <w:vAlign w:val="center"/>
          </w:tcPr>
          <w:p w:rsidR="00827F48" w:rsidRPr="00827F48" w:rsidRDefault="00827F48" w:rsidP="004373B5">
            <w:pPr>
              <w:jc w:val="center"/>
              <w:rPr>
                <w:rFonts w:cs="Arial"/>
              </w:rPr>
            </w:pPr>
            <w:r w:rsidRPr="00827F48">
              <w:rPr>
                <w:rFonts w:cs="Arial"/>
              </w:rPr>
              <w:t>238</w:t>
            </w:r>
          </w:p>
        </w:tc>
      </w:tr>
      <w:tr w:rsidR="00827F48" w:rsidRPr="00827F48" w:rsidTr="004373B5">
        <w:tc>
          <w:tcPr>
            <w:tcW w:w="6912" w:type="dxa"/>
          </w:tcPr>
          <w:p w:rsidR="00827F48" w:rsidRPr="00827F48" w:rsidRDefault="00827F48" w:rsidP="004373B5">
            <w:pPr>
              <w:rPr>
                <w:rFonts w:cs="Arial"/>
              </w:rPr>
            </w:pPr>
            <w:r w:rsidRPr="00827F48">
              <w:rPr>
                <w:rFonts w:cs="Arial"/>
              </w:rPr>
              <w:t xml:space="preserve">CABG se preporučuje kod pacijenata sa DM i sa višesudovnom ili komplesnom (SYNTAX skor &gt;22) CAD kako bi se popravilo preživljavanje slobodno od glavnih kardiovaskularnih događaja.  </w:t>
            </w:r>
          </w:p>
        </w:tc>
        <w:tc>
          <w:tcPr>
            <w:tcW w:w="851" w:type="dxa"/>
            <w:vAlign w:val="center"/>
          </w:tcPr>
          <w:p w:rsidR="00827F48" w:rsidRPr="00827F48" w:rsidRDefault="00827F48" w:rsidP="004373B5">
            <w:pPr>
              <w:jc w:val="center"/>
              <w:rPr>
                <w:rFonts w:cs="Arial"/>
              </w:rPr>
            </w:pPr>
            <w:r w:rsidRPr="00827F48">
              <w:rPr>
                <w:rFonts w:cs="Arial"/>
              </w:rPr>
              <w:t>I</w:t>
            </w:r>
          </w:p>
        </w:tc>
        <w:tc>
          <w:tcPr>
            <w:tcW w:w="850" w:type="dxa"/>
            <w:vAlign w:val="center"/>
          </w:tcPr>
          <w:p w:rsidR="00827F48" w:rsidRPr="00827F48" w:rsidRDefault="00827F48" w:rsidP="004373B5">
            <w:pPr>
              <w:jc w:val="center"/>
              <w:rPr>
                <w:rFonts w:cs="Arial"/>
              </w:rPr>
            </w:pPr>
            <w:r w:rsidRPr="00827F48">
              <w:rPr>
                <w:rFonts w:cs="Arial"/>
              </w:rPr>
              <w:t>A</w:t>
            </w:r>
          </w:p>
        </w:tc>
        <w:tc>
          <w:tcPr>
            <w:tcW w:w="963" w:type="dxa"/>
            <w:vAlign w:val="center"/>
          </w:tcPr>
          <w:p w:rsidR="00827F48" w:rsidRPr="00827F48" w:rsidRDefault="00827F48" w:rsidP="004373B5">
            <w:pPr>
              <w:jc w:val="center"/>
              <w:rPr>
                <w:rFonts w:cs="Arial"/>
              </w:rPr>
            </w:pPr>
            <w:r w:rsidRPr="00827F48">
              <w:rPr>
                <w:rFonts w:cs="Arial"/>
              </w:rPr>
              <w:t>237, 238, 244, 246, 248, 266</w:t>
            </w:r>
          </w:p>
        </w:tc>
      </w:tr>
      <w:tr w:rsidR="00827F48" w:rsidRPr="00827F48" w:rsidTr="004373B5">
        <w:tc>
          <w:tcPr>
            <w:tcW w:w="6912" w:type="dxa"/>
          </w:tcPr>
          <w:p w:rsidR="00827F48" w:rsidRPr="00827F48" w:rsidRDefault="00827F48" w:rsidP="004373B5">
            <w:pPr>
              <w:rPr>
                <w:rFonts w:cs="Arial"/>
              </w:rPr>
            </w:pPr>
            <w:r w:rsidRPr="00827F48">
              <w:rPr>
                <w:rFonts w:cs="Arial"/>
              </w:rPr>
              <w:t>Može se razmotriti PCI radi kontrole simptoma kao alternativa CABG-u kod pacijenata sa DM i manje kompleksnom višesudovnom CAD (SYNTAX skor ≤22)  u slučaju potrebe za revaskularizacijom.</w:t>
            </w:r>
          </w:p>
        </w:tc>
        <w:tc>
          <w:tcPr>
            <w:tcW w:w="851" w:type="dxa"/>
            <w:vAlign w:val="center"/>
          </w:tcPr>
          <w:p w:rsidR="00827F48" w:rsidRPr="00827F48" w:rsidRDefault="00827F48" w:rsidP="004373B5">
            <w:pPr>
              <w:jc w:val="center"/>
              <w:rPr>
                <w:rFonts w:cs="Arial"/>
              </w:rPr>
            </w:pPr>
            <w:r w:rsidRPr="00827F48">
              <w:rPr>
                <w:rFonts w:cs="Arial"/>
              </w:rPr>
              <w:t>IIb</w:t>
            </w:r>
          </w:p>
        </w:tc>
        <w:tc>
          <w:tcPr>
            <w:tcW w:w="850" w:type="dxa"/>
            <w:vAlign w:val="center"/>
          </w:tcPr>
          <w:p w:rsidR="00827F48" w:rsidRPr="00827F48" w:rsidRDefault="00827F48" w:rsidP="004373B5">
            <w:pPr>
              <w:jc w:val="center"/>
              <w:rPr>
                <w:rFonts w:cs="Arial"/>
              </w:rPr>
            </w:pPr>
            <w:r w:rsidRPr="00827F48">
              <w:rPr>
                <w:rFonts w:cs="Arial"/>
              </w:rPr>
              <w:t>B</w:t>
            </w:r>
          </w:p>
        </w:tc>
        <w:tc>
          <w:tcPr>
            <w:tcW w:w="963" w:type="dxa"/>
            <w:vAlign w:val="center"/>
          </w:tcPr>
          <w:p w:rsidR="00827F48" w:rsidRPr="00827F48" w:rsidRDefault="00827F48" w:rsidP="004373B5">
            <w:pPr>
              <w:jc w:val="center"/>
              <w:rPr>
                <w:rFonts w:cs="Arial"/>
              </w:rPr>
            </w:pPr>
            <w:r w:rsidRPr="00827F48">
              <w:rPr>
                <w:rFonts w:cs="Arial"/>
              </w:rPr>
              <w:t>246, 267, 268</w:t>
            </w:r>
          </w:p>
        </w:tc>
      </w:tr>
      <w:tr w:rsidR="00827F48" w:rsidRPr="00827F48" w:rsidTr="004373B5">
        <w:tc>
          <w:tcPr>
            <w:tcW w:w="6912" w:type="dxa"/>
          </w:tcPr>
          <w:p w:rsidR="00827F48" w:rsidRPr="00827F48" w:rsidRDefault="00827F48" w:rsidP="004373B5">
            <w:pPr>
              <w:rPr>
                <w:rFonts w:cs="Arial"/>
              </w:rPr>
            </w:pPr>
            <w:r w:rsidRPr="00827F48">
              <w:rPr>
                <w:rFonts w:cs="Arial"/>
              </w:rPr>
              <w:t xml:space="preserve">Primarna PCI se preporučuje u odnosu na fibrinolizu kod pacijenata sa DM a koji se prezentuju sa STEMI ako se uradi u peporučenom vremenskom okviru.   </w:t>
            </w:r>
          </w:p>
        </w:tc>
        <w:tc>
          <w:tcPr>
            <w:tcW w:w="851" w:type="dxa"/>
            <w:vAlign w:val="center"/>
          </w:tcPr>
          <w:p w:rsidR="00827F48" w:rsidRPr="00827F48" w:rsidRDefault="00827F48" w:rsidP="004373B5">
            <w:pPr>
              <w:jc w:val="center"/>
              <w:rPr>
                <w:rFonts w:cs="Arial"/>
              </w:rPr>
            </w:pPr>
            <w:r w:rsidRPr="00827F48">
              <w:rPr>
                <w:rFonts w:cs="Arial"/>
              </w:rPr>
              <w:t>I</w:t>
            </w:r>
          </w:p>
        </w:tc>
        <w:tc>
          <w:tcPr>
            <w:tcW w:w="850" w:type="dxa"/>
            <w:vAlign w:val="center"/>
          </w:tcPr>
          <w:p w:rsidR="00827F48" w:rsidRPr="00827F48" w:rsidRDefault="00827F48" w:rsidP="004373B5">
            <w:pPr>
              <w:jc w:val="center"/>
              <w:rPr>
                <w:rFonts w:cs="Arial"/>
              </w:rPr>
            </w:pPr>
            <w:r w:rsidRPr="00827F48">
              <w:rPr>
                <w:rFonts w:cs="Arial"/>
              </w:rPr>
              <w:t>B</w:t>
            </w:r>
          </w:p>
        </w:tc>
        <w:tc>
          <w:tcPr>
            <w:tcW w:w="963" w:type="dxa"/>
            <w:vAlign w:val="center"/>
          </w:tcPr>
          <w:p w:rsidR="00827F48" w:rsidRPr="00827F48" w:rsidRDefault="00827F48" w:rsidP="004373B5">
            <w:pPr>
              <w:jc w:val="center"/>
              <w:rPr>
                <w:rFonts w:cs="Arial"/>
              </w:rPr>
            </w:pPr>
            <w:r w:rsidRPr="00827F48">
              <w:rPr>
                <w:rFonts w:cs="Arial"/>
              </w:rPr>
              <w:t>242</w:t>
            </w:r>
          </w:p>
        </w:tc>
      </w:tr>
      <w:tr w:rsidR="00827F48" w:rsidRPr="00827F48" w:rsidTr="004373B5">
        <w:tc>
          <w:tcPr>
            <w:tcW w:w="6912" w:type="dxa"/>
            <w:tcBorders>
              <w:bottom w:val="single" w:sz="4" w:space="0" w:color="auto"/>
            </w:tcBorders>
          </w:tcPr>
          <w:p w:rsidR="00827F48" w:rsidRPr="00827F48" w:rsidRDefault="00827F48" w:rsidP="004373B5">
            <w:pPr>
              <w:rPr>
                <w:rFonts w:cs="Arial"/>
              </w:rPr>
            </w:pPr>
            <w:r w:rsidRPr="00827F48">
              <w:rPr>
                <w:rFonts w:cs="Arial"/>
              </w:rPr>
              <w:t>Kod pacijenata sa DM koji su podvrgnuti PCI, preporučuje se prije DES nego BMS, kako bi se smanjio rizik.</w:t>
            </w:r>
          </w:p>
        </w:tc>
        <w:tc>
          <w:tcPr>
            <w:tcW w:w="851" w:type="dxa"/>
            <w:tcBorders>
              <w:bottom w:val="single" w:sz="4" w:space="0" w:color="auto"/>
            </w:tcBorders>
            <w:vAlign w:val="center"/>
          </w:tcPr>
          <w:p w:rsidR="00827F48" w:rsidRPr="00827F48" w:rsidRDefault="00827F48" w:rsidP="004373B5">
            <w:pPr>
              <w:jc w:val="center"/>
              <w:rPr>
                <w:rFonts w:cs="Arial"/>
              </w:rPr>
            </w:pPr>
            <w:r w:rsidRPr="00827F48">
              <w:rPr>
                <w:rFonts w:cs="Arial"/>
              </w:rPr>
              <w:t>I</w:t>
            </w:r>
          </w:p>
        </w:tc>
        <w:tc>
          <w:tcPr>
            <w:tcW w:w="850" w:type="dxa"/>
            <w:tcBorders>
              <w:bottom w:val="single" w:sz="4" w:space="0" w:color="auto"/>
            </w:tcBorders>
            <w:vAlign w:val="center"/>
          </w:tcPr>
          <w:p w:rsidR="00827F48" w:rsidRPr="00827F48" w:rsidRDefault="00827F48" w:rsidP="004373B5">
            <w:pPr>
              <w:jc w:val="center"/>
              <w:rPr>
                <w:rFonts w:cs="Arial"/>
              </w:rPr>
            </w:pPr>
            <w:r w:rsidRPr="00827F48">
              <w:rPr>
                <w:rFonts w:cs="Arial"/>
              </w:rPr>
              <w:t>A</w:t>
            </w:r>
          </w:p>
        </w:tc>
        <w:tc>
          <w:tcPr>
            <w:tcW w:w="963" w:type="dxa"/>
            <w:tcBorders>
              <w:bottom w:val="single" w:sz="4" w:space="0" w:color="auto"/>
            </w:tcBorders>
            <w:vAlign w:val="center"/>
          </w:tcPr>
          <w:p w:rsidR="00827F48" w:rsidRPr="00827F48" w:rsidRDefault="00827F48" w:rsidP="004373B5">
            <w:pPr>
              <w:jc w:val="center"/>
              <w:rPr>
                <w:rFonts w:cs="Arial"/>
              </w:rPr>
            </w:pPr>
            <w:r w:rsidRPr="00827F48">
              <w:rPr>
                <w:rFonts w:cs="Arial"/>
              </w:rPr>
              <w:t>247, 269</w:t>
            </w:r>
          </w:p>
        </w:tc>
      </w:tr>
      <w:tr w:rsidR="00827F48" w:rsidRPr="00827F48" w:rsidTr="004373B5">
        <w:tc>
          <w:tcPr>
            <w:tcW w:w="6912" w:type="dxa"/>
            <w:tcBorders>
              <w:bottom w:val="single" w:sz="4" w:space="0" w:color="auto"/>
            </w:tcBorders>
          </w:tcPr>
          <w:p w:rsidR="00827F48" w:rsidRPr="00827F48" w:rsidRDefault="00827F48" w:rsidP="004373B5">
            <w:pPr>
              <w:rPr>
                <w:rFonts w:cs="Arial"/>
              </w:rPr>
            </w:pPr>
            <w:r w:rsidRPr="00827F48">
              <w:rPr>
                <w:rFonts w:cs="Arial"/>
              </w:rPr>
              <w:t xml:space="preserve">Renalna funkcija bi se trebala pažljivo pratiti nakon koronarne angiografije/PCI kod svih pacijenata na metforminu. </w:t>
            </w:r>
          </w:p>
        </w:tc>
        <w:tc>
          <w:tcPr>
            <w:tcW w:w="851" w:type="dxa"/>
            <w:tcBorders>
              <w:bottom w:val="single" w:sz="4" w:space="0" w:color="auto"/>
            </w:tcBorders>
            <w:vAlign w:val="center"/>
          </w:tcPr>
          <w:p w:rsidR="00827F48" w:rsidRPr="00827F48" w:rsidRDefault="00827F48" w:rsidP="004373B5">
            <w:pPr>
              <w:jc w:val="center"/>
              <w:rPr>
                <w:rFonts w:cs="Arial"/>
              </w:rPr>
            </w:pPr>
            <w:r w:rsidRPr="00827F48">
              <w:rPr>
                <w:rFonts w:cs="Arial"/>
              </w:rPr>
              <w:t>I</w:t>
            </w:r>
          </w:p>
        </w:tc>
        <w:tc>
          <w:tcPr>
            <w:tcW w:w="850" w:type="dxa"/>
            <w:tcBorders>
              <w:bottom w:val="single" w:sz="4" w:space="0" w:color="auto"/>
            </w:tcBorders>
            <w:vAlign w:val="center"/>
          </w:tcPr>
          <w:p w:rsidR="00827F48" w:rsidRPr="00827F48" w:rsidRDefault="00827F48" w:rsidP="004373B5">
            <w:pPr>
              <w:jc w:val="center"/>
              <w:rPr>
                <w:rFonts w:cs="Arial"/>
              </w:rPr>
            </w:pPr>
            <w:r w:rsidRPr="00827F48">
              <w:rPr>
                <w:rFonts w:cs="Arial"/>
              </w:rPr>
              <w:t>C</w:t>
            </w:r>
          </w:p>
        </w:tc>
        <w:tc>
          <w:tcPr>
            <w:tcW w:w="963" w:type="dxa"/>
            <w:tcBorders>
              <w:bottom w:val="single" w:sz="4" w:space="0" w:color="auto"/>
            </w:tcBorders>
            <w:vAlign w:val="center"/>
          </w:tcPr>
          <w:p w:rsidR="00827F48" w:rsidRPr="00827F48" w:rsidRDefault="00827F48" w:rsidP="004373B5">
            <w:pPr>
              <w:jc w:val="center"/>
              <w:rPr>
                <w:rFonts w:cs="Arial"/>
              </w:rPr>
            </w:pPr>
            <w:r w:rsidRPr="00827F48">
              <w:rPr>
                <w:rFonts w:cs="Arial"/>
              </w:rPr>
              <w:t>-</w:t>
            </w:r>
          </w:p>
        </w:tc>
      </w:tr>
      <w:tr w:rsidR="00827F48" w:rsidRPr="00827F48" w:rsidTr="004373B5">
        <w:tc>
          <w:tcPr>
            <w:tcW w:w="6912" w:type="dxa"/>
            <w:tcBorders>
              <w:bottom w:val="single" w:sz="4" w:space="0" w:color="auto"/>
            </w:tcBorders>
          </w:tcPr>
          <w:p w:rsidR="00827F48" w:rsidRPr="00827F48" w:rsidRDefault="00827F48" w:rsidP="004373B5">
            <w:pPr>
              <w:rPr>
                <w:rFonts w:cs="Arial"/>
              </w:rPr>
            </w:pPr>
            <w:r w:rsidRPr="00827F48">
              <w:rPr>
                <w:rFonts w:cs="Arial"/>
              </w:rPr>
              <w:t xml:space="preserve">Kod pogoršanja renalne funkcije pacijenata koji koriste metformin, a koji treba da se podvrgnu koronarnoj angiografiji/PCI preporuka je da se tretman odloži za 24h  ili dok se bubrežna funkcija ne vrati na pređašnji nivo.  </w:t>
            </w:r>
          </w:p>
        </w:tc>
        <w:tc>
          <w:tcPr>
            <w:tcW w:w="851" w:type="dxa"/>
            <w:tcBorders>
              <w:bottom w:val="single" w:sz="4" w:space="0" w:color="auto"/>
            </w:tcBorders>
            <w:vAlign w:val="center"/>
          </w:tcPr>
          <w:p w:rsidR="00827F48" w:rsidRPr="00827F48" w:rsidRDefault="00827F48" w:rsidP="004373B5">
            <w:pPr>
              <w:jc w:val="center"/>
              <w:rPr>
                <w:rFonts w:cs="Arial"/>
              </w:rPr>
            </w:pPr>
            <w:r w:rsidRPr="00827F48">
              <w:rPr>
                <w:rFonts w:cs="Arial"/>
              </w:rPr>
              <w:t>I</w:t>
            </w:r>
          </w:p>
        </w:tc>
        <w:tc>
          <w:tcPr>
            <w:tcW w:w="850" w:type="dxa"/>
            <w:tcBorders>
              <w:bottom w:val="single" w:sz="4" w:space="0" w:color="auto"/>
            </w:tcBorders>
            <w:vAlign w:val="center"/>
          </w:tcPr>
          <w:p w:rsidR="00827F48" w:rsidRPr="00827F48" w:rsidRDefault="00827F48" w:rsidP="004373B5">
            <w:pPr>
              <w:jc w:val="center"/>
              <w:rPr>
                <w:rFonts w:cs="Arial"/>
              </w:rPr>
            </w:pPr>
            <w:r w:rsidRPr="00827F48">
              <w:rPr>
                <w:rFonts w:cs="Arial"/>
              </w:rPr>
              <w:t>C</w:t>
            </w:r>
          </w:p>
        </w:tc>
        <w:tc>
          <w:tcPr>
            <w:tcW w:w="963" w:type="dxa"/>
            <w:tcBorders>
              <w:bottom w:val="single" w:sz="4" w:space="0" w:color="auto"/>
            </w:tcBorders>
            <w:vAlign w:val="center"/>
          </w:tcPr>
          <w:p w:rsidR="00827F48" w:rsidRPr="00827F48" w:rsidRDefault="00827F48" w:rsidP="004373B5">
            <w:pPr>
              <w:jc w:val="center"/>
              <w:rPr>
                <w:rFonts w:cs="Arial"/>
              </w:rPr>
            </w:pPr>
            <w:r w:rsidRPr="00827F48">
              <w:rPr>
                <w:rFonts w:cs="Arial"/>
              </w:rPr>
              <w:t>-</w:t>
            </w:r>
          </w:p>
        </w:tc>
      </w:tr>
      <w:tr w:rsidR="00827F48" w:rsidRPr="00827F48" w:rsidTr="004373B5">
        <w:tc>
          <w:tcPr>
            <w:tcW w:w="9576" w:type="dxa"/>
            <w:gridSpan w:val="4"/>
            <w:tcBorders>
              <w:left w:val="nil"/>
              <w:bottom w:val="nil"/>
              <w:right w:val="nil"/>
            </w:tcBorders>
          </w:tcPr>
          <w:p w:rsidR="00827F48" w:rsidRPr="00827F48" w:rsidRDefault="00827F48" w:rsidP="004373B5">
            <w:pPr>
              <w:rPr>
                <w:rFonts w:cs="Arial"/>
              </w:rPr>
            </w:pPr>
            <w:r w:rsidRPr="00827F48">
              <w:rPr>
                <w:rFonts w:cs="Arial"/>
              </w:rPr>
              <w:t xml:space="preserve">BMS= goli stent; CABG= koronarno arterijski bajpas graft; CAD= koronarno arterijska bolest; DES= </w:t>
            </w:r>
            <w:r w:rsidRPr="00827F48">
              <w:rPr>
                <w:rFonts w:cs="Arial"/>
              </w:rPr>
              <w:lastRenderedPageBreak/>
              <w:t xml:space="preserve">stent sa oslobađajućim lijekom; CVD = kardiovaskularna bolest; DM = dijabetes melitus; LAD= lijeva prednja descendentna koronarna arterija; PCI perkutana koronarana intervencija; STEMI= infarkt miokarda sa ST-elevacijom. </w:t>
            </w:r>
          </w:p>
          <w:p w:rsidR="00827F48" w:rsidRPr="00827F48" w:rsidRDefault="00827F48" w:rsidP="004373B5">
            <w:pPr>
              <w:rPr>
                <w:rFonts w:cs="Arial"/>
              </w:rPr>
            </w:pPr>
            <w:r w:rsidRPr="00827F48">
              <w:rPr>
                <w:rFonts w:cs="Arial"/>
                <w:vertAlign w:val="superscript"/>
              </w:rPr>
              <w:t>A</w:t>
            </w:r>
            <w:r w:rsidRPr="00827F48">
              <w:rPr>
                <w:rFonts w:cs="Arial"/>
              </w:rPr>
              <w:t xml:space="preserve"> Klasa preporuka.</w:t>
            </w:r>
          </w:p>
          <w:p w:rsidR="00827F48" w:rsidRPr="00827F48" w:rsidRDefault="00827F48" w:rsidP="004373B5">
            <w:pPr>
              <w:rPr>
                <w:rFonts w:cs="Arial"/>
              </w:rPr>
            </w:pPr>
            <w:r w:rsidRPr="00827F48">
              <w:rPr>
                <w:rFonts w:cs="Arial"/>
                <w:vertAlign w:val="superscript"/>
              </w:rPr>
              <w:t>B</w:t>
            </w:r>
            <w:r w:rsidRPr="00827F48">
              <w:rPr>
                <w:rFonts w:cs="Arial"/>
              </w:rPr>
              <w:t xml:space="preserve"> Nivo dokaza.</w:t>
            </w:r>
          </w:p>
          <w:p w:rsidR="00827F48" w:rsidRPr="00827F48" w:rsidRDefault="00827F48" w:rsidP="004373B5">
            <w:pPr>
              <w:rPr>
                <w:rFonts w:cs="Arial"/>
              </w:rPr>
            </w:pPr>
            <w:r w:rsidRPr="00827F48">
              <w:rPr>
                <w:rFonts w:cs="Arial"/>
                <w:vertAlign w:val="superscript"/>
              </w:rPr>
              <w:t>C</w:t>
            </w:r>
            <w:r w:rsidRPr="00827F48">
              <w:rPr>
                <w:rFonts w:cs="Arial"/>
              </w:rPr>
              <w:t xml:space="preserve"> Reference koje podržavaju dokaze.</w:t>
            </w:r>
          </w:p>
        </w:tc>
      </w:tr>
    </w:tbl>
    <w:p w:rsidR="00827F48" w:rsidRPr="00827F48" w:rsidRDefault="00827F48" w:rsidP="00827F48">
      <w:pPr>
        <w:rPr>
          <w:rFonts w:cs="Times New Roman"/>
        </w:rPr>
      </w:pPr>
    </w:p>
    <w:p w:rsidR="00827F48" w:rsidRPr="00827F48" w:rsidRDefault="00827F48" w:rsidP="00827F48">
      <w:pPr>
        <w:rPr>
          <w:rFonts w:cs="Times New Roman"/>
          <w:b/>
        </w:rPr>
      </w:pPr>
      <w:r w:rsidRPr="00827F48">
        <w:rPr>
          <w:rFonts w:cs="Times New Roman"/>
          <w:b/>
        </w:rPr>
        <w:t xml:space="preserve">5.2.5 Tretman snižavanja glukoze i koronarna angiografija i intervencije </w:t>
      </w:r>
    </w:p>
    <w:p w:rsidR="00827F48" w:rsidRPr="00827F48" w:rsidRDefault="00827F48" w:rsidP="00827F48">
      <w:pPr>
        <w:rPr>
          <w:rFonts w:cs="Times New Roman"/>
        </w:rPr>
      </w:pPr>
      <w:r w:rsidRPr="00827F48">
        <w:rPr>
          <w:rFonts w:cs="Times New Roman"/>
        </w:rPr>
        <w:t>Nekoliko studija se bavilo interakcijom između hipoglikemijskih lijekova i koronarne angiografije ili revaskularizacije miokarda u DM. Nema naučnih dokaza za čestu praksu stopiranja metformina prije angiografije ili PCI, i skorašnje preporuke su manje restriktivne.</w:t>
      </w:r>
      <w:r w:rsidRPr="00827F48">
        <w:rPr>
          <w:rFonts w:cs="Times New Roman"/>
          <w:vertAlign w:val="superscript"/>
        </w:rPr>
        <w:t>212</w:t>
      </w:r>
      <w:r w:rsidRPr="00827F48">
        <w:rPr>
          <w:rFonts w:cs="Times New Roman"/>
        </w:rPr>
        <w:t xml:space="preserve"> Prije nego stopirati metformin, razuman pristup bi bio povući metformin tokom 48h ako se pogorša renalne funkcija i dok se renalna funkcija ne povrati na svoj raniji nivo. </w:t>
      </w:r>
    </w:p>
    <w:p w:rsidR="00827F48" w:rsidRPr="00827F48" w:rsidRDefault="00827F48" w:rsidP="00827F48">
      <w:pPr>
        <w:rPr>
          <w:rFonts w:cs="Times New Roman"/>
        </w:rPr>
      </w:pPr>
      <w:r w:rsidRPr="00827F48">
        <w:rPr>
          <w:rFonts w:cs="Times New Roman"/>
        </w:rPr>
        <w:t xml:space="preserve">Opseravcioni podaci su prijavili zabrinutost zbog upotrebe sulfonilureje kod pacijenata koji se tretiraju sa primarnom PCI zbog akutnog MI; ovo nije potvrđeno pomoću </w:t>
      </w:r>
      <w:r w:rsidRPr="00827F48">
        <w:rPr>
          <w:rFonts w:cs="Times New Roman"/>
          <w:i/>
        </w:rPr>
        <w:t>post hoc</w:t>
      </w:r>
      <w:r w:rsidRPr="00827F48">
        <w:rPr>
          <w:rFonts w:cs="Times New Roman"/>
        </w:rPr>
        <w:t xml:space="preserve"> analize DIGAMI-2 studija, iako je broj pacijenata koji se podvrgao primarnoj PCI u ovoj studiji bio nizak.</w:t>
      </w:r>
      <w:r w:rsidRPr="00827F48">
        <w:rPr>
          <w:rFonts w:cs="Times New Roman"/>
          <w:vertAlign w:val="superscript"/>
        </w:rPr>
        <w:t>261</w:t>
      </w:r>
      <w:r w:rsidRPr="00827F48">
        <w:rPr>
          <w:rFonts w:cs="Times New Roman"/>
        </w:rPr>
        <w:t xml:space="preserve"> Aritmije i ishemične komplikacije bile su manje učestale kod pacijenata koji su primali gliklazid/glimepirid.</w:t>
      </w:r>
      <w:r w:rsidRPr="00827F48">
        <w:rPr>
          <w:rFonts w:cs="Times New Roman"/>
          <w:vertAlign w:val="superscript"/>
        </w:rPr>
        <w:t>262</w:t>
      </w:r>
      <w:r w:rsidRPr="00827F48">
        <w:rPr>
          <w:rFonts w:cs="Times New Roman"/>
        </w:rPr>
        <w:t xml:space="preserve"> Tiazolidindioni mogu biti povezani sa manjom restenozom nakon PCI sa BMS,</w:t>
      </w:r>
      <w:r w:rsidRPr="00827F48">
        <w:rPr>
          <w:rFonts w:cs="Times New Roman"/>
          <w:vertAlign w:val="superscript"/>
        </w:rPr>
        <w:t>263</w:t>
      </w:r>
      <w:r w:rsidRPr="00827F48">
        <w:rPr>
          <w:rFonts w:cs="Times New Roman"/>
        </w:rPr>
        <w:t xml:space="preserve"> ali nose povećan rizik od srčane slabosti zbog retencije tečnosti.</w:t>
      </w:r>
    </w:p>
    <w:p w:rsidR="00827F48" w:rsidRPr="00827F48" w:rsidRDefault="00827F48" w:rsidP="00827F48">
      <w:pPr>
        <w:rPr>
          <w:rFonts w:cs="Times New Roman"/>
        </w:rPr>
      </w:pPr>
      <w:r w:rsidRPr="00827F48">
        <w:rPr>
          <w:rFonts w:cs="Times New Roman"/>
        </w:rPr>
        <w:t>Nijedna studija nije demonstrirala da insulin ili insulin-glukoza-kalijum (GIK) poboljšavaju ishod PCI nakon STEMI. Opservacioni podaci u CABG sugerišu da je  kontinuirana intravenozna infuzija insulina koja postiže umjereno usku glikemijsku kontrolu (6.6-9.9 mmlo/l ili 120-180 mg/dl) nezavisno povezana sa manjim mortalitetom i glavnim komplikacijama, nego što je to primjećeno nakon uže (&lt;6.6 mmol/l ili &lt;120 mg/dl) ili labavije (&gt;9.9 mmol/l ili &gt;180 mg/dl) glikemijske kontrole.</w:t>
      </w:r>
      <w:r w:rsidRPr="00827F48">
        <w:rPr>
          <w:rFonts w:cs="Times New Roman"/>
          <w:vertAlign w:val="superscript"/>
        </w:rPr>
        <w:t>264</w:t>
      </w:r>
      <w:r w:rsidRPr="00827F48">
        <w:rPr>
          <w:rFonts w:cs="Times New Roman"/>
        </w:rPr>
        <w:t xml:space="preserve"> U BARI 2D studiji, ishodi su bili slični kod pacijenata koji su dobijali insulinsku senzitizacija vs. davanje insulina, kako bi se kontrolisala glukoza u krvi. U CABG stratumu, insulinska upotreba je bila povezana sa više kardiovaskularnih događaja nego insulinska senzitizacija.</w:t>
      </w:r>
      <w:r w:rsidRPr="00827F48">
        <w:rPr>
          <w:rFonts w:cs="Times New Roman"/>
          <w:vertAlign w:val="superscript"/>
        </w:rPr>
        <w:t>238,265</w:t>
      </w:r>
      <w:r w:rsidRPr="00827F48">
        <w:rPr>
          <w:rFonts w:cs="Times New Roman"/>
        </w:rPr>
        <w:t xml:space="preserve"> </w:t>
      </w:r>
    </w:p>
    <w:p w:rsidR="00827F48" w:rsidRPr="00827F48" w:rsidRDefault="00827F48" w:rsidP="00827F48">
      <w:pPr>
        <w:rPr>
          <w:rFonts w:cs="Times New Roman"/>
          <w:b/>
        </w:rPr>
      </w:pPr>
      <w:r w:rsidRPr="00827F48">
        <w:rPr>
          <w:rFonts w:cs="Times New Roman"/>
          <w:b/>
        </w:rPr>
        <w:t xml:space="preserve">6. Srčana insuficijencija i dijabetes </w:t>
      </w:r>
    </w:p>
    <w:p w:rsidR="00827F48" w:rsidRPr="00827F48" w:rsidRDefault="00827F48" w:rsidP="00827F48">
      <w:pPr>
        <w:rPr>
          <w:rFonts w:cs="Times New Roman"/>
          <w:b/>
        </w:rPr>
      </w:pPr>
      <w:r w:rsidRPr="00827F48">
        <w:rPr>
          <w:rFonts w:cs="Times New Roman"/>
          <w:b/>
        </w:rPr>
        <w:t xml:space="preserve">6.1 Srčana insuficijencija u tipu 2 dijabetesa </w:t>
      </w:r>
    </w:p>
    <w:p w:rsidR="00827F48" w:rsidRPr="00827F48" w:rsidRDefault="00827F48" w:rsidP="00827F48">
      <w:pPr>
        <w:rPr>
          <w:rFonts w:cs="Times New Roman"/>
          <w:b/>
        </w:rPr>
      </w:pPr>
      <w:r w:rsidRPr="00827F48">
        <w:rPr>
          <w:rFonts w:cs="Times New Roman"/>
          <w:b/>
        </w:rPr>
        <w:t xml:space="preserve">Prevalenca i incidenca srčane insuficijencije u tipu 2 dijabetesa melitusa </w:t>
      </w:r>
    </w:p>
    <w:p w:rsidR="00827F48" w:rsidRPr="00827F48" w:rsidRDefault="00827F48" w:rsidP="00827F48">
      <w:pPr>
        <w:rPr>
          <w:rFonts w:cs="Times New Roman"/>
        </w:rPr>
      </w:pPr>
      <w:r w:rsidRPr="00827F48">
        <w:rPr>
          <w:rFonts w:cs="Times New Roman"/>
        </w:rPr>
        <w:t>Prevalenca srčane insuficijencije u opštoj populaciji je 1-4%, a 0.3-0.5% pacijenata imaju i srčanu insuficijenciju i T2DM. Studije populacija koje imaju srčanu insuficijenciju otkrivaju prevalencu T2DM od 12-30%, koja se povećava sa godinama.</w:t>
      </w:r>
      <w:r w:rsidRPr="00827F48">
        <w:rPr>
          <w:rFonts w:cs="Times New Roman"/>
          <w:vertAlign w:val="superscript"/>
        </w:rPr>
        <w:t>270,271</w:t>
      </w:r>
      <w:r w:rsidRPr="00827F48">
        <w:rPr>
          <w:rFonts w:cs="Times New Roman"/>
        </w:rPr>
        <w:t xml:space="preserve"> U Framingamskoj studiji, relativni rizik od srčane insuficijencije, podešen prema godinama, kod pacijenata sa T2DM (starosti 45-74 godine) bio je 2.2 za muškarce i 5.3 za žene.</w:t>
      </w:r>
      <w:r w:rsidRPr="00827F48">
        <w:rPr>
          <w:rFonts w:cs="Times New Roman"/>
          <w:vertAlign w:val="superscript"/>
        </w:rPr>
        <w:t>272</w:t>
      </w:r>
      <w:r w:rsidRPr="00827F48">
        <w:rPr>
          <w:rFonts w:cs="Times New Roman"/>
        </w:rPr>
        <w:t xml:space="preserve"> Visoka incidenca srčane insuficijencije kod pacijenata sa T2DM bila je potvrđena u National Health and Nutrition Examination Survey, sa HR od 1.85 (95% CI 1.51-2.28) u T2DM u poređenju sa pacijentima bez DM.</w:t>
      </w:r>
      <w:r w:rsidRPr="00827F48">
        <w:rPr>
          <w:rFonts w:cs="Times New Roman"/>
          <w:vertAlign w:val="superscript"/>
        </w:rPr>
        <w:t>273</w:t>
      </w:r>
      <w:r w:rsidRPr="00827F48">
        <w:rPr>
          <w:rFonts w:cs="Times New Roman"/>
        </w:rPr>
        <w:t xml:space="preserve"> Boonman-de Winter et al.</w:t>
      </w:r>
      <w:r w:rsidRPr="00827F48">
        <w:rPr>
          <w:rFonts w:cs="Times New Roman"/>
          <w:vertAlign w:val="superscript"/>
        </w:rPr>
        <w:t>274</w:t>
      </w:r>
      <w:r w:rsidRPr="00827F48">
        <w:rPr>
          <w:rFonts w:cs="Times New Roman"/>
        </w:rPr>
        <w:t xml:space="preserve"> su proučavali 581 pacijenta sa T2DM (starosti &gt;60 godina) te su prijavili da je 28% imalo od ranije nepoznatu srčanu insuficijenciju. Prevalenca se brzo povećavala sa godinama, i srčana insuficijencija sa očuvanom ejakcionom frakcijom lijeve komore (LVEF) je bila učestalija kod žena nego muškaraca. Disfunkcija lijevog ventrikula (LV) je bila dijagnostikovana u 26% a dijastolna difunkcija u 25%. </w:t>
      </w:r>
    </w:p>
    <w:p w:rsidR="00827F48" w:rsidRPr="00827F48" w:rsidRDefault="00827F48" w:rsidP="00827F48">
      <w:pPr>
        <w:rPr>
          <w:rFonts w:cs="Times New Roman"/>
          <w:b/>
        </w:rPr>
      </w:pPr>
      <w:r w:rsidRPr="00827F48">
        <w:rPr>
          <w:rFonts w:cs="Times New Roman"/>
          <w:b/>
        </w:rPr>
        <w:lastRenderedPageBreak/>
        <w:t xml:space="preserve">Prevalenca i incidenca dijabetesa melitusa u srčanoj insuficijenciji. </w:t>
      </w:r>
    </w:p>
    <w:p w:rsidR="00827F48" w:rsidRPr="00827F48" w:rsidRDefault="00827F48" w:rsidP="00827F48">
      <w:pPr>
        <w:rPr>
          <w:rFonts w:cs="Times New Roman"/>
        </w:rPr>
      </w:pPr>
      <w:r w:rsidRPr="00827F48">
        <w:rPr>
          <w:rFonts w:cs="Times New Roman"/>
        </w:rPr>
        <w:t>Prevalenca dijabetesa melitusa u opštoj populciji je 6-8%..</w:t>
      </w:r>
      <w:r w:rsidRPr="00827F48">
        <w:rPr>
          <w:rFonts w:cs="Times New Roman"/>
          <w:vertAlign w:val="superscript"/>
        </w:rPr>
        <w:t>10</w:t>
      </w:r>
      <w:r w:rsidRPr="00827F48">
        <w:rPr>
          <w:rFonts w:cs="Times New Roman"/>
        </w:rPr>
        <w:t xml:space="preserve"> Viša je kod subjekata sa simptomatskom srčanom insuficijencijom (12-30%) povećavajući se prema 40% među hospitalizovanim pacijentima.</w:t>
      </w:r>
      <w:r w:rsidRPr="00827F48">
        <w:rPr>
          <w:rFonts w:cs="Times New Roman"/>
          <w:vertAlign w:val="superscript"/>
        </w:rPr>
        <w:t>275</w:t>
      </w:r>
      <w:r w:rsidRPr="00827F48">
        <w:rPr>
          <w:rFonts w:cs="Times New Roman"/>
        </w:rPr>
        <w:t xml:space="preserve"> U populaciji starijih Italijana, javljanje DM de novo se dogodilo u 29% slučajeva tokom 3 godine praćenja, u poređenju sa 18% u kontrolnoj grupi pacijenata koji nisu imali srčanu insuficijenciju.</w:t>
      </w:r>
      <w:r w:rsidRPr="00827F48">
        <w:rPr>
          <w:rFonts w:cs="Times New Roman"/>
          <w:vertAlign w:val="superscript"/>
        </w:rPr>
        <w:t>276</w:t>
      </w:r>
      <w:r w:rsidRPr="00827F48">
        <w:rPr>
          <w:rFonts w:cs="Times New Roman"/>
        </w:rPr>
        <w:t xml:space="preserve"> Kada su praćeni subjekti u Reykjavik studiji, koji su imali dvije ili više posjeta tokom 30 godina, DM i srčana insuficijencija nisu bili nezavisni prediktori jedno drugom, iako su glukoza natašte i indeks tjeslesne mase (BMI) bili značajni faktori rizika i za poremećaj glukoze i za srčanu insuficijenciju.</w:t>
      </w:r>
      <w:r w:rsidRPr="00827F48">
        <w:rPr>
          <w:rFonts w:cs="Times New Roman"/>
          <w:vertAlign w:val="superscript"/>
        </w:rPr>
        <w:t>277</w:t>
      </w:r>
      <w:r w:rsidRPr="00827F48">
        <w:rPr>
          <w:rFonts w:cs="Times New Roman"/>
        </w:rPr>
        <w:t xml:space="preserve"> </w:t>
      </w:r>
    </w:p>
    <w:p w:rsidR="00827F48" w:rsidRPr="00827F48" w:rsidRDefault="00827F48" w:rsidP="00827F48">
      <w:pPr>
        <w:rPr>
          <w:rFonts w:cs="Times New Roman"/>
        </w:rPr>
      </w:pPr>
      <w:r w:rsidRPr="00827F48">
        <w:rPr>
          <w:rFonts w:cs="Times New Roman"/>
          <w:b/>
        </w:rPr>
        <w:t>Dijabetesna kardiomiopatija:</w:t>
      </w:r>
      <w:r w:rsidRPr="00827F48">
        <w:rPr>
          <w:rFonts w:cs="Times New Roman"/>
        </w:rPr>
        <w:t xml:space="preserve"> Dugotrajna hiperglikemija može nezavisno uticati na tkivo srca i redukciju distenzibilnosti LV-rani znak DM kardiomiopatije-može se rano otkriti tokom postojanja DM.</w:t>
      </w:r>
      <w:r w:rsidRPr="00827F48">
        <w:rPr>
          <w:rFonts w:cs="Times New Roman"/>
          <w:vertAlign w:val="superscript"/>
        </w:rPr>
        <w:t>278</w:t>
      </w:r>
      <w:r w:rsidRPr="00827F48">
        <w:rPr>
          <w:rFonts w:cs="Times New Roman"/>
        </w:rPr>
        <w:t xml:space="preserve"> Učestlo istovremeno postojanje hipertenzije i DM čini da je teško izolovati doprinos glukometaboličkog stanja razvoju dijastolne disfunkcije. Patogenetski mehanizmi uključuju akumulaciju naprednih produkata glikozilacije, formiranje kolagena i intersticijalne fibroze, što vodi oštećenju kalcijumske homeostaze i oštećenom insulinskom signaliziranju miokarda, što sve dovodi do smanjena relaksacije i distenzibilnosti miokarda.</w:t>
      </w:r>
      <w:r w:rsidRPr="00827F48">
        <w:rPr>
          <w:rFonts w:cs="Times New Roman"/>
          <w:vertAlign w:val="superscript"/>
        </w:rPr>
        <w:t>279,280</w:t>
      </w:r>
      <w:r w:rsidRPr="00827F48">
        <w:rPr>
          <w:rFonts w:cs="Times New Roman"/>
        </w:rPr>
        <w:t xml:space="preserve"> </w:t>
      </w:r>
    </w:p>
    <w:p w:rsidR="00827F48" w:rsidRPr="00827F48" w:rsidRDefault="00827F48" w:rsidP="00827F48">
      <w:pPr>
        <w:rPr>
          <w:rFonts w:cs="Times New Roman"/>
        </w:rPr>
      </w:pPr>
      <w:r w:rsidRPr="00827F48">
        <w:rPr>
          <w:rFonts w:cs="Times New Roman"/>
        </w:rPr>
        <w:t>Dijastolna disfunkcija je identifikovana kvantitativnom procjenom dijastolnih parametara LV, korišćenjem konvencionalnih Doppler parametra  transmitralnog utoka krvi i tkivnog Dopplera mitralnog prstena.</w:t>
      </w:r>
      <w:r w:rsidRPr="00827F48">
        <w:rPr>
          <w:rFonts w:cs="Times New Roman"/>
          <w:vertAlign w:val="superscript"/>
        </w:rPr>
        <w:t>281</w:t>
      </w:r>
    </w:p>
    <w:p w:rsidR="00827F48" w:rsidRPr="00827F48" w:rsidRDefault="00827F48" w:rsidP="00827F48">
      <w:pPr>
        <w:rPr>
          <w:rFonts w:cs="Times New Roman"/>
          <w:b/>
        </w:rPr>
      </w:pPr>
      <w:r w:rsidRPr="00827F48">
        <w:rPr>
          <w:rFonts w:cs="Times New Roman"/>
          <w:b/>
        </w:rPr>
        <w:t xml:space="preserve">6.2 Morbiditet i mortalitet </w:t>
      </w:r>
    </w:p>
    <w:p w:rsidR="00827F48" w:rsidRPr="00827F48" w:rsidRDefault="00827F48" w:rsidP="00827F48">
      <w:pPr>
        <w:rPr>
          <w:rFonts w:cs="Times New Roman"/>
        </w:rPr>
      </w:pPr>
      <w:r w:rsidRPr="00827F48">
        <w:rPr>
          <w:rFonts w:cs="Times New Roman"/>
        </w:rPr>
        <w:t>Srčana insuficijencija je glavni uzrok hospitalizacija kod pacijenata sa T2DM u Hypertension,Microalbuminuria or Proteinuria, Cardiovascular Events and Ramipril (DIABHYCAR) studiji, koja je istraživala hospitalizacije kod pacijenata sa T2DM sa albuminurijom.</w:t>
      </w:r>
      <w:r w:rsidRPr="00827F48">
        <w:rPr>
          <w:rFonts w:cs="Times New Roman"/>
          <w:vertAlign w:val="superscript"/>
        </w:rPr>
        <w:t>282</w:t>
      </w:r>
      <w:r w:rsidRPr="00827F48">
        <w:rPr>
          <w:rFonts w:cs="Times New Roman"/>
        </w:rPr>
        <w:t xml:space="preserve"> Na drugu ruku, T2DM je povećao rizik od hospitalzacija kod pacijenata sa srčanom insuficijencijom u BEta blocker Stroke studiji (BEST)</w:t>
      </w:r>
      <w:r w:rsidRPr="00827F48">
        <w:rPr>
          <w:rFonts w:cs="Times New Roman"/>
          <w:vertAlign w:val="superscript"/>
        </w:rPr>
        <w:t>283</w:t>
      </w:r>
      <w:r w:rsidRPr="00827F48">
        <w:rPr>
          <w:rFonts w:cs="Times New Roman"/>
        </w:rPr>
        <w:t xml:space="preserve"> (RR 1.16; P= 0.027). U Metoprolol CR/XL Randomised Intervention Trial in Congestive Heart Failure (MERIT-HF),</w:t>
      </w:r>
      <w:r w:rsidRPr="00827F48">
        <w:rPr>
          <w:rFonts w:cs="Times New Roman"/>
          <w:vertAlign w:val="superscript"/>
        </w:rPr>
        <w:t>284</w:t>
      </w:r>
      <w:r w:rsidRPr="00827F48">
        <w:rPr>
          <w:rFonts w:cs="Times New Roman"/>
        </w:rPr>
        <w:t xml:space="preserve"> pacijenti sa srčanom insuficijencijom i T2DM su imali 1-godišnje hospitalizaciju 31%, u poređenju sa 24% onih koji nisu imali DM. U DIABHYCAR studiji, kombinacija srčane insuficijencije i T2DM je rezultirala stopom mortaliteta 12 puta većom od one kod pacijenata sa T2DM ali bez srčane insuficijencije (36 vs. 3%).</w:t>
      </w:r>
      <w:r w:rsidRPr="00827F48">
        <w:rPr>
          <w:rFonts w:cs="Times New Roman"/>
          <w:vertAlign w:val="superscript"/>
        </w:rPr>
        <w:t>282</w:t>
      </w:r>
      <w:r w:rsidRPr="00827F48">
        <w:rPr>
          <w:rFonts w:cs="Times New Roman"/>
        </w:rPr>
        <w:t xml:space="preserve"> BEST i Studies Of Left Ventricular Dysfunction (SOLVD)</w:t>
      </w:r>
      <w:r w:rsidRPr="00827F48">
        <w:rPr>
          <w:rFonts w:cs="Times New Roman"/>
          <w:vertAlign w:val="superscript"/>
        </w:rPr>
        <w:t>283,285</w:t>
      </w:r>
      <w:r w:rsidRPr="00827F48">
        <w:rPr>
          <w:rFonts w:cs="Times New Roman"/>
        </w:rPr>
        <w:t xml:space="preserve"> je izvjestila da je T2DM nezavisan prediktor mortaliteta, uglavnom kod ishemične srčane insuficijencije. </w:t>
      </w:r>
    </w:p>
    <w:p w:rsidR="00827F48" w:rsidRPr="00827F48" w:rsidRDefault="00827F48" w:rsidP="00827F48">
      <w:pPr>
        <w:rPr>
          <w:rFonts w:cs="Times New Roman"/>
          <w:b/>
        </w:rPr>
      </w:pPr>
      <w:r w:rsidRPr="00827F48">
        <w:rPr>
          <w:rFonts w:cs="Times New Roman"/>
          <w:b/>
        </w:rPr>
        <w:t xml:space="preserve">6.3 Farmakološki tretman </w:t>
      </w:r>
    </w:p>
    <w:p w:rsidR="00827F48" w:rsidRPr="00827F48" w:rsidRDefault="00827F48" w:rsidP="00827F48">
      <w:pPr>
        <w:rPr>
          <w:rFonts w:cs="Times New Roman"/>
        </w:rPr>
      </w:pPr>
      <w:r w:rsidRPr="00827F48">
        <w:rPr>
          <w:rFonts w:cs="Times New Roman"/>
          <w:b/>
        </w:rPr>
        <w:t>Inhibitori angiotenzin konvertujućeg enzima i blokatori angitenzinskih receptora</w:t>
      </w:r>
      <w:r w:rsidRPr="00827F48">
        <w:rPr>
          <w:rFonts w:cs="Times New Roman"/>
        </w:rPr>
        <w:t xml:space="preserve"> poboljšavaju simptomei smanjuju mortalitet i indikovani su u T2DM i srčanoj insuficijenciji. U SOLVD studiji, ACE-I enalpril značajno je smanjio mortalitet kod pacijenata sa DM sa srčanom insuficijencijom.</w:t>
      </w:r>
      <w:r w:rsidRPr="00827F48">
        <w:rPr>
          <w:rFonts w:cs="Times New Roman"/>
          <w:vertAlign w:val="superscript"/>
        </w:rPr>
        <w:t>285</w:t>
      </w:r>
      <w:r w:rsidRPr="00827F48">
        <w:rPr>
          <w:rFonts w:cs="Times New Roman"/>
        </w:rPr>
        <w:t xml:space="preserve"> Redukcija rizika od mortaliteta u grupi pacijenata koji su dobijali visoku dozu vs. nisku dozu lizinoprila, bila je 14% u grupi koja je imala DM a 6% u grupi bez DM u Assessement of Treatment with Lisinopril And Survival (ATLAS) studija.</w:t>
      </w:r>
      <w:r w:rsidRPr="00827F48">
        <w:rPr>
          <w:rFonts w:cs="Times New Roman"/>
          <w:vertAlign w:val="superscript"/>
        </w:rPr>
        <w:t>286</w:t>
      </w:r>
      <w:r w:rsidRPr="00827F48">
        <w:rPr>
          <w:rFonts w:cs="Times New Roman"/>
        </w:rPr>
        <w:t xml:space="preserve"> Subgrupna analiza kliničkih studija ukazuje da je povoljni efekat ARBs ekvivalentan onome ACE-Is,</w:t>
      </w:r>
      <w:r w:rsidRPr="00827F48">
        <w:rPr>
          <w:rFonts w:cs="Times New Roman"/>
          <w:vertAlign w:val="superscript"/>
        </w:rPr>
        <w:t>287-290</w:t>
      </w:r>
      <w:r w:rsidRPr="00827F48">
        <w:rPr>
          <w:rFonts w:cs="Times New Roman"/>
        </w:rPr>
        <w:t xml:space="preserve"> ARB prema tome mogu biti korišćeni kao alternativa kod pacijenata koji ne tolerišu ACE-I. ACE-I i ARB se ne bi trebali koristiti u kombinaciji kod pacijenata sa LVEF &lt;40%, </w:t>
      </w:r>
      <w:r w:rsidRPr="00827F48">
        <w:rPr>
          <w:rFonts w:cs="Times New Roman"/>
        </w:rPr>
        <w:lastRenderedPageBreak/>
        <w:t>koji ostaju simptomatski uprkos optimalnom tretmanu  sa ACE-I i β-blokatorima. Prema ESC smjernicama za srčanu insuficijenciju iz 2012, takvim pacijntima i trebao biti propisan antagonista mineralokortikoidnih receptora (vidi ispod), koji uzrokuje veću redukciju morbiditeta i mortaliteta  nego dodatak nekog ARB.</w:t>
      </w:r>
      <w:r w:rsidRPr="00827F48">
        <w:rPr>
          <w:rFonts w:cs="Times New Roman"/>
          <w:vertAlign w:val="superscript"/>
        </w:rPr>
        <w:t>281</w:t>
      </w:r>
      <w:r w:rsidRPr="00827F48">
        <w:rPr>
          <w:rFonts w:cs="Times New Roman"/>
        </w:rPr>
        <w:t xml:space="preserve"> Kada se koriste kod pacijenata sa DM, ACE-Is i ARBSs, obavezno je nadgledanje funkcije bubrega i kalijuma, jer je nefropatija česta. </w:t>
      </w:r>
    </w:p>
    <w:p w:rsidR="00827F48" w:rsidRPr="00827F48" w:rsidRDefault="00827F48" w:rsidP="00827F48">
      <w:pPr>
        <w:rPr>
          <w:rFonts w:cs="Times New Roman"/>
        </w:rPr>
      </w:pPr>
      <w:r w:rsidRPr="00827F48">
        <w:rPr>
          <w:rFonts w:cs="Times New Roman"/>
          <w:b/>
        </w:rPr>
        <w:t>Beta blokatori</w:t>
      </w:r>
      <w:r w:rsidRPr="00827F48">
        <w:rPr>
          <w:rFonts w:cs="Times New Roman"/>
        </w:rPr>
        <w:t>. Kao dodatak ACE-I (ili, ako se ne tolerišu, dodatak ARB) β-blokatori bi se trebali dati svim pacijentima sa LVF ≤40%. Subgrupna analiza MERIT-HF studije pokazala je da β-blokatori smanjuju mortalitet i primanje u bolnicu i poboljšavaju simptome, bez značajnih razlika u grupi pacjenata koji imaju DM i onoj bez DM.</w:t>
      </w:r>
      <w:r w:rsidRPr="00827F48">
        <w:rPr>
          <w:rFonts w:cs="Times New Roman"/>
          <w:vertAlign w:val="superscript"/>
        </w:rPr>
        <w:t>284</w:t>
      </w:r>
      <w:r w:rsidRPr="00827F48">
        <w:rPr>
          <w:rFonts w:cs="Times New Roman"/>
        </w:rPr>
        <w:t xml:space="preserve"> Dalje meta-analize glavnih studija o srčanoj insuficijenciji ukazuju da RR mortalitet kod pacijenata sa DM koji dobijaju β-blokatore bio značajno popravljen (0.84 vs. 0.72).</w:t>
      </w:r>
      <w:r w:rsidRPr="00827F48">
        <w:rPr>
          <w:rFonts w:cs="Times New Roman"/>
          <w:vertAlign w:val="superscript"/>
        </w:rPr>
        <w:t>291,292</w:t>
      </w:r>
      <w:r w:rsidRPr="00827F48">
        <w:rPr>
          <w:rFonts w:cs="Times New Roman"/>
        </w:rPr>
        <w:t xml:space="preserve"> β-Blokatori takođe redukuju hospitalizacije radi srčane insuficijencije i u grupi koja je imala DM i u onoj bez DM.</w:t>
      </w:r>
      <w:r w:rsidRPr="00827F48">
        <w:rPr>
          <w:rFonts w:cs="Times New Roman"/>
          <w:vertAlign w:val="superscript"/>
        </w:rPr>
        <w:t xml:space="preserve">283,284,293,294 </w:t>
      </w:r>
      <w:r w:rsidRPr="00827F48">
        <w:rPr>
          <w:rFonts w:cs="Times New Roman"/>
        </w:rPr>
        <w:t>Uprkos ovome, pojedinci sa T2DM imaju manje šanse da budu otpušteni iz bolnice sa β-blokatorom nego pacijenti bez DM sa srčanom insuficijencijom.</w:t>
      </w:r>
      <w:r w:rsidRPr="00827F48">
        <w:rPr>
          <w:rFonts w:cs="Times New Roman"/>
          <w:vertAlign w:val="superscript"/>
        </w:rPr>
        <w:t>295</w:t>
      </w:r>
      <w:r w:rsidRPr="00827F48">
        <w:rPr>
          <w:rFonts w:cs="Times New Roman"/>
        </w:rPr>
        <w:t xml:space="preserve"> β-lokatori koji se preporučuju u srčanoj insuficijenciji i T2DM su: sporooslobađaući metoprolol-sukcinat (MERIT-HF), bisoprolol [Cardiac Insufficienci Bisoprolol Study (CIBIS II)] i karvedilol [Carvedilol Prospective Randomized Cumulative Survival (Copernicus) and Carvedilol Or Metoprolol European Trial (COMET)].</w:t>
      </w:r>
      <w:r w:rsidRPr="00827F48">
        <w:rPr>
          <w:rFonts w:cs="Times New Roman"/>
          <w:vertAlign w:val="superscript"/>
        </w:rPr>
        <w:t>293,294,296,297</w:t>
      </w:r>
    </w:p>
    <w:p w:rsidR="00827F48" w:rsidRPr="00827F48" w:rsidRDefault="00827F48" w:rsidP="00827F48">
      <w:pPr>
        <w:rPr>
          <w:rFonts w:cs="Times New Roman"/>
        </w:rPr>
      </w:pPr>
      <w:r w:rsidRPr="00827F48">
        <w:rPr>
          <w:rFonts w:cs="Times New Roman"/>
          <w:b/>
        </w:rPr>
        <w:t>Antagnosti mineralokortikoidnih receptora.</w:t>
      </w:r>
      <w:r w:rsidRPr="00827F48">
        <w:rPr>
          <w:rFonts w:cs="Times New Roman"/>
        </w:rPr>
        <w:t xml:space="preserve"> Male doze antagonista mineralokortikoidnih receptora (MRA) su indikovane kod pacijenata sa perzistentnim simptomima [New York Heart Association (NYHA) Class II-IV] i LVEF ≤ 35%, i pored tretmana sa ACE-I (ili, ako ako se ne tolerišu ARB) i β-blokatorom.</w:t>
      </w:r>
      <w:r w:rsidRPr="00827F48">
        <w:rPr>
          <w:rFonts w:cs="Times New Roman"/>
          <w:vertAlign w:val="superscript"/>
        </w:rPr>
        <w:t>298</w:t>
      </w:r>
      <w:r w:rsidRPr="00827F48">
        <w:rPr>
          <w:rFonts w:cs="Times New Roman"/>
        </w:rPr>
        <w:t xml:space="preserve"> Povoljni efekti spirinolaktona i eplerona na mortalitet nisu se razlikovali među pacijentima sa i bez T2DM i sračnom insuficijencijom.</w:t>
      </w:r>
      <w:r w:rsidRPr="00827F48">
        <w:rPr>
          <w:rFonts w:cs="Times New Roman"/>
          <w:vertAlign w:val="superscript"/>
        </w:rPr>
        <w:t>299,300</w:t>
      </w:r>
      <w:r w:rsidRPr="00827F48">
        <w:rPr>
          <w:rFonts w:cs="Times New Roman"/>
        </w:rPr>
        <w:t xml:space="preserve"> Monitoring renalne funkcije je obavezan zbog visokog rizika od nefropatije kod DM. </w:t>
      </w:r>
    </w:p>
    <w:p w:rsidR="00827F48" w:rsidRPr="00827F48" w:rsidRDefault="00827F48" w:rsidP="00827F48">
      <w:pPr>
        <w:rPr>
          <w:rFonts w:cs="Times New Roman"/>
        </w:rPr>
      </w:pPr>
      <w:r w:rsidRPr="00827F48">
        <w:rPr>
          <w:rFonts w:cs="Times New Roman"/>
          <w:b/>
        </w:rPr>
        <w:t>Diuretici.</w:t>
      </w:r>
      <w:r w:rsidRPr="00827F48">
        <w:rPr>
          <w:rFonts w:cs="Times New Roman"/>
        </w:rPr>
        <w:t xml:space="preserve"> Efekti diuretika na mortalitet i morbiditet nisu istraživani, ali ovi lijekovi su korisni za uklanjanje dispneje i edema kod srčane insuficijencije sa suviškom tečnosti, bez obzira na na ejakcionu frakciju (EF). Diuretici petlje se preferiraju nad tiazidnim diureticima, za koje je pokazano da podstiču hiperglikemiju. </w:t>
      </w:r>
    </w:p>
    <w:p w:rsidR="00827F48" w:rsidRPr="00827F48" w:rsidRDefault="00827F48" w:rsidP="00827F48">
      <w:pPr>
        <w:rPr>
          <w:rFonts w:cs="Times New Roman"/>
        </w:rPr>
      </w:pPr>
      <w:r w:rsidRPr="00827F48">
        <w:rPr>
          <w:rFonts w:cs="Times New Roman"/>
          <w:b/>
        </w:rPr>
        <w:t>Ivabradin.</w:t>
      </w:r>
      <w:r w:rsidRPr="00827F48">
        <w:rPr>
          <w:rFonts w:cs="Times New Roman"/>
        </w:rPr>
        <w:t xml:space="preserve"> U placebo kontrolisanoj studiji od 6558 pacijenata (30% sa T2DM) sa srčanom insuficijencijom a koji su bili u sinusnom ritmu, i sa srčanom frkevnecom ≥ 70/min, ivabradin je demonstrirao značajno smanjenje u zajedničkom krajnjem ishodu u smislu kardiovaskularne smrti, i prijama u bolnicu zbog pogoršanja srčane insuficijencije. Povoljan efekat je bio sličan u prespecificiranoj grupnoj analizi pacijenata sa i bez DM.</w:t>
      </w:r>
      <w:r w:rsidRPr="00827F48">
        <w:rPr>
          <w:rFonts w:cs="Times New Roman"/>
          <w:vertAlign w:val="superscript"/>
        </w:rPr>
        <w:t>301</w:t>
      </w:r>
      <w:r w:rsidRPr="00827F48">
        <w:rPr>
          <w:rFonts w:cs="Times New Roman"/>
        </w:rPr>
        <w:t xml:space="preserve"> </w:t>
      </w:r>
    </w:p>
    <w:p w:rsidR="00827F48" w:rsidRPr="00827F48" w:rsidRDefault="00827F48" w:rsidP="00827F48">
      <w:pPr>
        <w:rPr>
          <w:rFonts w:cs="Times New Roman"/>
        </w:rPr>
      </w:pPr>
    </w:p>
    <w:p w:rsidR="00827F48" w:rsidRPr="00827F48" w:rsidRDefault="00827F48" w:rsidP="00827F48">
      <w:pPr>
        <w:rPr>
          <w:rFonts w:cs="Times New Roman"/>
          <w:b/>
        </w:rPr>
      </w:pPr>
      <w:r w:rsidRPr="00827F48">
        <w:rPr>
          <w:rFonts w:cs="Times New Roman"/>
          <w:b/>
        </w:rPr>
        <w:t xml:space="preserve">6.4 Nefarmakološka terapija </w:t>
      </w:r>
    </w:p>
    <w:p w:rsidR="00827F48" w:rsidRPr="00827F48" w:rsidRDefault="00827F48" w:rsidP="00827F48">
      <w:pPr>
        <w:rPr>
          <w:rFonts w:cs="Times New Roman"/>
        </w:rPr>
      </w:pPr>
      <w:r w:rsidRPr="00827F48">
        <w:rPr>
          <w:rFonts w:cs="Times New Roman"/>
        </w:rPr>
        <w:t>Srčana resinhronizaciona terapija i implantabilni kardioverter defibrilatori. Srčana resinhronizaciona terapija smanjuje mortalitet kod pacijenata sa NYHA funkcionalnom klasom III-IV, sa LVEF ≤ 35% uprkos optimalnom farmakološkom tretmanu, sa sinus ritmom i sa produženim trajanjem QRS (≥ 120-130ms).</w:t>
      </w:r>
      <w:r w:rsidRPr="00827F48">
        <w:rPr>
          <w:rFonts w:cs="Times New Roman"/>
          <w:vertAlign w:val="superscript"/>
        </w:rPr>
        <w:t>302</w:t>
      </w:r>
      <w:r w:rsidRPr="00827F48">
        <w:rPr>
          <w:rFonts w:cs="Times New Roman"/>
        </w:rPr>
        <w:t xml:space="preserve"> Nema razloga da se misli da bi efekat resinhronizacione terapije bio drugačiji kod pacijenata sa DM. </w:t>
      </w:r>
    </w:p>
    <w:p w:rsidR="00827F48" w:rsidRPr="00827F48" w:rsidRDefault="00827F48" w:rsidP="00827F48">
      <w:pPr>
        <w:rPr>
          <w:rFonts w:cs="Times New Roman"/>
        </w:rPr>
      </w:pPr>
      <w:r w:rsidRPr="00827F48">
        <w:rPr>
          <w:rFonts w:cs="Times New Roman"/>
        </w:rPr>
        <w:lastRenderedPageBreak/>
        <w:t>Srčana transplantacija je prihvatljiv tretman za krajnji stadijum srčane insuficijencije. Prisustvo DM nije kontraindikacija, ali se koriste strožiji kriteriji pri izboru. DM je bio nezavisan faktor rizika za smanjeno 10-godišnje preživljavanje u studiji registara 22 385 pacijenata između 1987 i 1999.</w:t>
      </w:r>
      <w:r w:rsidRPr="00827F48">
        <w:rPr>
          <w:rFonts w:cs="Times New Roman"/>
          <w:vertAlign w:val="superscript"/>
        </w:rPr>
        <w:t>303</w:t>
      </w:r>
      <w:r w:rsidRPr="00827F48">
        <w:rPr>
          <w:rFonts w:cs="Times New Roman"/>
        </w:rPr>
        <w:t xml:space="preserve"> </w:t>
      </w:r>
    </w:p>
    <w:p w:rsidR="00827F48" w:rsidRPr="00827F48" w:rsidRDefault="00827F48" w:rsidP="00827F48">
      <w:pPr>
        <w:rPr>
          <w:rFonts w:cs="Times New Roman"/>
        </w:rPr>
      </w:pPr>
    </w:p>
    <w:p w:rsidR="00827F48" w:rsidRPr="00827F48" w:rsidRDefault="00827F48" w:rsidP="00827F48">
      <w:pPr>
        <w:rPr>
          <w:rFonts w:cs="Times New Roman"/>
          <w:b/>
        </w:rPr>
      </w:pPr>
      <w:r w:rsidRPr="00827F48">
        <w:rPr>
          <w:rFonts w:cs="Times New Roman"/>
          <w:b/>
        </w:rPr>
        <w:t>6.5 Tretman snižavanja glukoze</w:t>
      </w:r>
    </w:p>
    <w:p w:rsidR="00827F48" w:rsidRPr="00827F48" w:rsidRDefault="00827F48" w:rsidP="00827F48">
      <w:pPr>
        <w:rPr>
          <w:rFonts w:cs="Times New Roman"/>
        </w:rPr>
      </w:pPr>
      <w:r w:rsidRPr="00827F48">
        <w:rPr>
          <w:rFonts w:cs="Times New Roman"/>
        </w:rPr>
        <w:t>Uticaj različitih lijekova za snižavanje glukoze kod pacijenata sa T2DM sa srčanom insuficijencijom, razmatran je od strane Gitt i saradnika.</w:t>
      </w:r>
      <w:r w:rsidRPr="00827F48">
        <w:rPr>
          <w:rFonts w:cs="Times New Roman"/>
          <w:vertAlign w:val="superscript"/>
        </w:rPr>
        <w:t>304</w:t>
      </w:r>
      <w:r w:rsidRPr="00827F48">
        <w:rPr>
          <w:rFonts w:cs="Times New Roman"/>
        </w:rPr>
        <w:t xml:space="preserve"> Jedini lijekovi koji su obrađivani u RCT su bili tiazolidindioni, dok je dokaz o drugim materijama u velikoj mjeri zasnovan na subgrupnoj analizi velikih intervencionalnih studija u sistolnoj srčanoj insuficijenciji, opservacionih studija i registara. Upotreba metformina se smatra da je kontraindikovana zbog zabrinutosti koja se tiče laktatne acidoze. Ovaj lijek je, međutim, povezan sa manjim mortalitetom, manjim brojem hospitalizacija zbog bilo kojeg uzroka, i manjim brojem neželjenih događaja.</w:t>
      </w:r>
      <w:r w:rsidRPr="00827F48">
        <w:rPr>
          <w:rFonts w:cs="Times New Roman"/>
          <w:vertAlign w:val="superscript"/>
        </w:rPr>
        <w:t>305,306</w:t>
      </w:r>
      <w:r w:rsidRPr="00827F48">
        <w:rPr>
          <w:rFonts w:cs="Times New Roman"/>
        </w:rPr>
        <w:t xml:space="preserve"> Kada se proučavala, akumulacija laktatne acidoze nije bila potvrđena.</w:t>
      </w:r>
      <w:r w:rsidRPr="00827F48">
        <w:rPr>
          <w:rFonts w:cs="Times New Roman"/>
          <w:vertAlign w:val="superscript"/>
        </w:rPr>
        <w:t>307</w:t>
      </w:r>
      <w:r w:rsidRPr="00827F48">
        <w:rPr>
          <w:rFonts w:cs="Times New Roman"/>
        </w:rPr>
        <w:t xml:space="preserve"> U studiji sa kontrolnom grupom koja je uključivala novodijagnostikovane pacijente sa srčanom insuficijencijom i DM, upotreba metformina [prilagođena OR 0.65 (0.48-0.87)] ili metformin sa ili bez drugih lijekova [0.72 (0.59-0.90)] bila je povezana sa manjim mortalitetom, dok su drugi lijekovi za smanjivanje glukoze ili insulin, bili neutralni u ovom pogledu.</w:t>
      </w:r>
      <w:r w:rsidRPr="00827F48">
        <w:rPr>
          <w:rFonts w:cs="Times New Roman"/>
          <w:vertAlign w:val="superscript"/>
        </w:rPr>
        <w:t xml:space="preserve">308 </w:t>
      </w:r>
    </w:p>
    <w:p w:rsidR="00827F48" w:rsidRPr="00827F48" w:rsidRDefault="00827F48" w:rsidP="00827F48">
      <w:pPr>
        <w:rPr>
          <w:rFonts w:cs="Times New Roman"/>
        </w:rPr>
      </w:pPr>
      <w:r w:rsidRPr="00827F48">
        <w:rPr>
          <w:rFonts w:cs="Times New Roman"/>
        </w:rPr>
        <w:t>Preporuke o sulfonilureji i srčanoj insuficijenciji su bazirane na opservacionim podacima. Nije viđena veza između mortaliteta od sulfonilureje i srčane insuficijencije u UKPDS,</w:t>
      </w:r>
      <w:r w:rsidRPr="00827F48">
        <w:rPr>
          <w:rFonts w:cs="Times New Roman"/>
          <w:vertAlign w:val="superscript"/>
        </w:rPr>
        <w:t>70</w:t>
      </w:r>
      <w:r w:rsidRPr="00827F48">
        <w:rPr>
          <w:rFonts w:cs="Times New Roman"/>
        </w:rPr>
        <w:t xml:space="preserve"> ali u Saskatchewan Health bazi podataka, mortalitet (52 vs. 33%) i hospitalizacije (85 vs. 77%) su bile više među pacijentima tretiranim sa sulfonilurejom nego sa metforminom tokom prosječnih 2.5 godina praćenja.</w:t>
      </w:r>
      <w:r w:rsidRPr="00827F48">
        <w:rPr>
          <w:rFonts w:cs="Times New Roman"/>
          <w:vertAlign w:val="superscript"/>
        </w:rPr>
        <w:t>309</w:t>
      </w:r>
      <w:r w:rsidRPr="00827F48">
        <w:rPr>
          <w:rFonts w:cs="Times New Roman"/>
        </w:rPr>
        <w:t xml:space="preserve"> Slična razlika nije bila povrđena u drugoj studiji, koja je zaključila da nema asocijacije između sulfonilureje ili insulinske upotrebe i mortaliteta.</w:t>
      </w:r>
      <w:r w:rsidRPr="00827F48">
        <w:rPr>
          <w:rFonts w:cs="Times New Roman"/>
          <w:vertAlign w:val="superscript"/>
        </w:rPr>
        <w:t>307</w:t>
      </w:r>
      <w:r w:rsidRPr="00827F48">
        <w:rPr>
          <w:rFonts w:cs="Times New Roman"/>
        </w:rPr>
        <w:t xml:space="preserve"> </w:t>
      </w:r>
    </w:p>
    <w:p w:rsidR="00827F48" w:rsidRPr="00827F48" w:rsidRDefault="00827F48" w:rsidP="00827F48">
      <w:pPr>
        <w:rPr>
          <w:rFonts w:cs="Times New Roman"/>
          <w:vertAlign w:val="superscript"/>
        </w:rPr>
      </w:pPr>
      <w:r w:rsidRPr="00827F48">
        <w:rPr>
          <w:rFonts w:cs="Times New Roman"/>
        </w:rPr>
        <w:t>Tiazolidindionima indukovana retencija kalijuma i ekspanzija volumena plazeme, i rezultujuća retencija tečnosti, mogu da provociraju ili pogoršaju srčanu insuficijenciju i prouzrokuju učestalost hopsitalizacija.</w:t>
      </w:r>
      <w:r w:rsidRPr="00827F48">
        <w:rPr>
          <w:rFonts w:cs="Times New Roman"/>
          <w:vertAlign w:val="superscript"/>
        </w:rPr>
        <w:t>99,310,311</w:t>
      </w:r>
      <w:r w:rsidRPr="00827F48">
        <w:rPr>
          <w:rFonts w:cs="Times New Roman"/>
        </w:rPr>
        <w:t xml:space="preserve"> Postoji nedostatak informacija o uticaju GLP-1 analoga ili DPP-4 inhibitora kod pacijenata sa srčanom insuficijencijom, iako eksperimentalna i rana klinička zapažanja ukazuju na povoljan efekat na perfomanse miokarda.</w:t>
      </w:r>
      <w:r w:rsidRPr="00827F48">
        <w:rPr>
          <w:rFonts w:cs="Times New Roman"/>
          <w:vertAlign w:val="superscript"/>
        </w:rPr>
        <w:t>312</w:t>
      </w:r>
      <w:r w:rsidRPr="00827F48">
        <w:rPr>
          <w:rFonts w:cs="Times New Roman"/>
        </w:rPr>
        <w:t xml:space="preserve"> Retrospektivna kohortna studija 16 417 pacijenata sa DM i primarnom dijagnozom srčane insuficijencije nije otkrila bilo kakvu vezu između upotrebe insulina i mortaliteta (HR 0.96; 95% CI 0.88-1.05) u poređenju sa nekoliko drugih klasa lijekova za snižavanje glukoze.</w:t>
      </w:r>
      <w:r w:rsidRPr="00827F48">
        <w:rPr>
          <w:rFonts w:cs="Times New Roman"/>
          <w:vertAlign w:val="superscript"/>
        </w:rPr>
        <w:t>307</w:t>
      </w:r>
      <w:r w:rsidRPr="00827F48">
        <w:rPr>
          <w:rFonts w:cs="Times New Roman"/>
        </w:rPr>
        <w:t xml:space="preserve"> U ORIGIN studiji, sa visokim CVD rizikom plus IFG, IGT ili T2DM primili su insulin galaržine ili standardnu njegu, koja je uglavnom uključivala tretman sa metforminom i sulfonilurejom. Tokom 6.2-godišnjeg perioda praćenja, nije bilo razlike u hospitalizacijama zbog srčane insuficijencije.</w:t>
      </w:r>
      <w:r w:rsidRPr="00827F48">
        <w:rPr>
          <w:rFonts w:cs="Times New Roman"/>
          <w:vertAlign w:val="superscript"/>
        </w:rPr>
        <w:t>89</w:t>
      </w:r>
    </w:p>
    <w:tbl>
      <w:tblPr>
        <w:tblStyle w:val="TableGrid"/>
        <w:tblW w:w="0" w:type="auto"/>
        <w:tblLook w:val="04A0" w:firstRow="1" w:lastRow="0" w:firstColumn="1" w:lastColumn="0" w:noHBand="0" w:noVBand="1"/>
      </w:tblPr>
      <w:tblGrid>
        <w:gridCol w:w="6636"/>
        <w:gridCol w:w="847"/>
        <w:gridCol w:w="843"/>
        <w:gridCol w:w="962"/>
      </w:tblGrid>
      <w:tr w:rsidR="00827F48" w:rsidRPr="00827F48" w:rsidTr="004373B5">
        <w:tc>
          <w:tcPr>
            <w:tcW w:w="9576" w:type="dxa"/>
            <w:gridSpan w:val="4"/>
            <w:tcBorders>
              <w:top w:val="nil"/>
              <w:left w:val="nil"/>
              <w:right w:val="nil"/>
            </w:tcBorders>
          </w:tcPr>
          <w:p w:rsidR="00827F48" w:rsidRPr="00827F48" w:rsidRDefault="00827F48" w:rsidP="004373B5">
            <w:pPr>
              <w:rPr>
                <w:rFonts w:cs="Arial"/>
              </w:rPr>
            </w:pPr>
            <w:r w:rsidRPr="00827F48">
              <w:rPr>
                <w:rFonts w:cs="Arial"/>
              </w:rPr>
              <w:t>Preporuke za menadžment srčane isnsuficijencije u dijabetesu</w:t>
            </w:r>
          </w:p>
        </w:tc>
      </w:tr>
      <w:tr w:rsidR="00827F48" w:rsidRPr="00827F48" w:rsidTr="004373B5">
        <w:tc>
          <w:tcPr>
            <w:tcW w:w="9576" w:type="dxa"/>
            <w:gridSpan w:val="4"/>
          </w:tcPr>
          <w:p w:rsidR="00827F48" w:rsidRPr="00827F48" w:rsidRDefault="00827F48" w:rsidP="004373B5">
            <w:pPr>
              <w:rPr>
                <w:rFonts w:cs="Arial"/>
              </w:rPr>
            </w:pPr>
            <w:r w:rsidRPr="00827F48">
              <w:rPr>
                <w:rFonts w:cs="Arial"/>
              </w:rPr>
              <w:t>Menadžment srčane isnsuficijencije u dijabetesu</w:t>
            </w:r>
          </w:p>
        </w:tc>
      </w:tr>
      <w:tr w:rsidR="00827F48" w:rsidRPr="00827F48" w:rsidTr="004373B5">
        <w:tc>
          <w:tcPr>
            <w:tcW w:w="6912" w:type="dxa"/>
          </w:tcPr>
          <w:p w:rsidR="00827F48" w:rsidRPr="00827F48" w:rsidRDefault="00827F48" w:rsidP="004373B5">
            <w:pPr>
              <w:rPr>
                <w:rFonts w:cs="Arial"/>
                <w:b/>
              </w:rPr>
            </w:pPr>
            <w:r w:rsidRPr="00827F48">
              <w:rPr>
                <w:rFonts w:cs="Arial"/>
                <w:b/>
              </w:rPr>
              <w:t xml:space="preserve">Preporuke </w:t>
            </w:r>
          </w:p>
        </w:tc>
        <w:tc>
          <w:tcPr>
            <w:tcW w:w="851" w:type="dxa"/>
          </w:tcPr>
          <w:p w:rsidR="00827F48" w:rsidRPr="00827F48" w:rsidRDefault="00827F48" w:rsidP="004373B5">
            <w:pPr>
              <w:rPr>
                <w:rFonts w:cs="Arial"/>
                <w:b/>
              </w:rPr>
            </w:pPr>
            <w:r w:rsidRPr="00827F48">
              <w:rPr>
                <w:rFonts w:cs="Arial"/>
                <w:b/>
              </w:rPr>
              <w:t>Klasa</w:t>
            </w:r>
            <w:r w:rsidRPr="00827F48">
              <w:rPr>
                <w:rFonts w:cs="Arial"/>
                <w:b/>
                <w:vertAlign w:val="superscript"/>
              </w:rPr>
              <w:t>a</w:t>
            </w:r>
          </w:p>
        </w:tc>
        <w:tc>
          <w:tcPr>
            <w:tcW w:w="850" w:type="dxa"/>
          </w:tcPr>
          <w:p w:rsidR="00827F48" w:rsidRPr="00827F48" w:rsidRDefault="00827F48" w:rsidP="004373B5">
            <w:pPr>
              <w:rPr>
                <w:rFonts w:cs="Arial"/>
                <w:b/>
              </w:rPr>
            </w:pPr>
            <w:r w:rsidRPr="00827F48">
              <w:rPr>
                <w:rFonts w:cs="Arial"/>
                <w:b/>
              </w:rPr>
              <w:t>Nivo</w:t>
            </w:r>
            <w:r w:rsidRPr="00827F48">
              <w:rPr>
                <w:rFonts w:cs="Arial"/>
                <w:b/>
                <w:vertAlign w:val="superscript"/>
              </w:rPr>
              <w:t>b</w:t>
            </w:r>
          </w:p>
        </w:tc>
        <w:tc>
          <w:tcPr>
            <w:tcW w:w="963" w:type="dxa"/>
          </w:tcPr>
          <w:p w:rsidR="00827F48" w:rsidRPr="00827F48" w:rsidRDefault="00827F48" w:rsidP="004373B5">
            <w:pPr>
              <w:rPr>
                <w:rFonts w:cs="Arial"/>
                <w:b/>
              </w:rPr>
            </w:pPr>
            <w:r w:rsidRPr="00827F48">
              <w:rPr>
                <w:rFonts w:cs="Arial"/>
                <w:b/>
              </w:rPr>
              <w:t>Ref.</w:t>
            </w:r>
            <w:r w:rsidRPr="00827F48">
              <w:rPr>
                <w:rFonts w:cs="Arial"/>
                <w:b/>
                <w:vertAlign w:val="superscript"/>
              </w:rPr>
              <w:t>c</w:t>
            </w:r>
          </w:p>
        </w:tc>
      </w:tr>
      <w:tr w:rsidR="00827F48" w:rsidRPr="00827F48" w:rsidTr="004373B5">
        <w:tc>
          <w:tcPr>
            <w:tcW w:w="6912" w:type="dxa"/>
          </w:tcPr>
          <w:p w:rsidR="00827F48" w:rsidRPr="00827F48" w:rsidRDefault="00827F48" w:rsidP="004373B5">
            <w:pPr>
              <w:rPr>
                <w:rFonts w:cs="Arial"/>
              </w:rPr>
            </w:pPr>
            <w:r w:rsidRPr="00827F48">
              <w:rPr>
                <w:rFonts w:cs="Arial"/>
              </w:rPr>
              <w:t>ACE-I su preporučeni pored β-blokatora, kod pacijenata sa sistolnom srčanom insuficijencijom i T2DM kako bi se smanjio mortalitet i hospitalizacije.</w:t>
            </w:r>
          </w:p>
        </w:tc>
        <w:tc>
          <w:tcPr>
            <w:tcW w:w="851" w:type="dxa"/>
            <w:vAlign w:val="center"/>
          </w:tcPr>
          <w:p w:rsidR="00827F48" w:rsidRPr="00827F48" w:rsidRDefault="00827F48" w:rsidP="004373B5">
            <w:pPr>
              <w:jc w:val="center"/>
              <w:rPr>
                <w:rFonts w:cs="Arial"/>
              </w:rPr>
            </w:pPr>
            <w:r w:rsidRPr="00827F48">
              <w:rPr>
                <w:rFonts w:cs="Arial"/>
              </w:rPr>
              <w:t>I</w:t>
            </w:r>
          </w:p>
        </w:tc>
        <w:tc>
          <w:tcPr>
            <w:tcW w:w="850" w:type="dxa"/>
            <w:vAlign w:val="center"/>
          </w:tcPr>
          <w:p w:rsidR="00827F48" w:rsidRPr="00827F48" w:rsidRDefault="00827F48" w:rsidP="004373B5">
            <w:pPr>
              <w:jc w:val="center"/>
              <w:rPr>
                <w:rFonts w:cs="Arial"/>
              </w:rPr>
            </w:pPr>
            <w:r w:rsidRPr="00827F48">
              <w:rPr>
                <w:rFonts w:cs="Arial"/>
              </w:rPr>
              <w:t>A</w:t>
            </w:r>
          </w:p>
        </w:tc>
        <w:tc>
          <w:tcPr>
            <w:tcW w:w="963" w:type="dxa"/>
            <w:vAlign w:val="center"/>
          </w:tcPr>
          <w:p w:rsidR="00827F48" w:rsidRPr="00827F48" w:rsidRDefault="00827F48" w:rsidP="004373B5">
            <w:pPr>
              <w:jc w:val="center"/>
              <w:rPr>
                <w:rFonts w:cs="Arial"/>
              </w:rPr>
            </w:pPr>
            <w:r w:rsidRPr="00827F48">
              <w:rPr>
                <w:rFonts w:cs="Arial"/>
              </w:rPr>
              <w:t>284, 286, 292,313</w:t>
            </w:r>
          </w:p>
        </w:tc>
      </w:tr>
      <w:tr w:rsidR="00827F48" w:rsidRPr="00827F48" w:rsidTr="004373B5">
        <w:tc>
          <w:tcPr>
            <w:tcW w:w="6912" w:type="dxa"/>
          </w:tcPr>
          <w:p w:rsidR="00827F48" w:rsidRPr="00827F48" w:rsidRDefault="00827F48" w:rsidP="004373B5">
            <w:pPr>
              <w:rPr>
                <w:rFonts w:cs="Arial"/>
              </w:rPr>
            </w:pPr>
            <w:r w:rsidRPr="00827F48">
              <w:rPr>
                <w:rFonts w:cs="Arial"/>
              </w:rPr>
              <w:t xml:space="preserve">Kod pacijenata sa sistolnom srčanom insuficijencijom i T2DM, koji imaju jasnu intoleraciju na ACE-I zbog neželjenih efekata, ARB, mogu se koristit kao alterantiva ACE-I.   </w:t>
            </w:r>
          </w:p>
        </w:tc>
        <w:tc>
          <w:tcPr>
            <w:tcW w:w="851" w:type="dxa"/>
            <w:vAlign w:val="center"/>
          </w:tcPr>
          <w:p w:rsidR="00827F48" w:rsidRPr="00827F48" w:rsidRDefault="00827F48" w:rsidP="004373B5">
            <w:pPr>
              <w:jc w:val="center"/>
              <w:rPr>
                <w:rFonts w:cs="Arial"/>
              </w:rPr>
            </w:pPr>
            <w:r w:rsidRPr="00827F48">
              <w:rPr>
                <w:rFonts w:cs="Arial"/>
              </w:rPr>
              <w:t>I</w:t>
            </w:r>
          </w:p>
        </w:tc>
        <w:tc>
          <w:tcPr>
            <w:tcW w:w="850" w:type="dxa"/>
            <w:vAlign w:val="center"/>
          </w:tcPr>
          <w:p w:rsidR="00827F48" w:rsidRPr="00827F48" w:rsidRDefault="00827F48" w:rsidP="004373B5">
            <w:pPr>
              <w:jc w:val="center"/>
              <w:rPr>
                <w:rFonts w:cs="Arial"/>
              </w:rPr>
            </w:pPr>
            <w:r w:rsidRPr="00827F48">
              <w:rPr>
                <w:rFonts w:cs="Arial"/>
              </w:rPr>
              <w:t>A</w:t>
            </w:r>
          </w:p>
        </w:tc>
        <w:tc>
          <w:tcPr>
            <w:tcW w:w="963" w:type="dxa"/>
            <w:vAlign w:val="center"/>
          </w:tcPr>
          <w:p w:rsidR="00827F48" w:rsidRPr="00827F48" w:rsidRDefault="00827F48" w:rsidP="004373B5">
            <w:pPr>
              <w:jc w:val="center"/>
              <w:rPr>
                <w:rFonts w:cs="Arial"/>
              </w:rPr>
            </w:pPr>
            <w:r w:rsidRPr="00827F48">
              <w:rPr>
                <w:rFonts w:cs="Arial"/>
              </w:rPr>
              <w:t>287-289</w:t>
            </w:r>
          </w:p>
        </w:tc>
      </w:tr>
      <w:tr w:rsidR="00827F48" w:rsidRPr="00827F48" w:rsidTr="004373B5">
        <w:tc>
          <w:tcPr>
            <w:tcW w:w="6912" w:type="dxa"/>
          </w:tcPr>
          <w:p w:rsidR="00827F48" w:rsidRPr="00827F48" w:rsidRDefault="00827F48" w:rsidP="004373B5">
            <w:pPr>
              <w:rPr>
                <w:rFonts w:cs="Arial"/>
              </w:rPr>
            </w:pPr>
            <w:r w:rsidRPr="00827F48">
              <w:rPr>
                <w:rFonts w:cs="Arial"/>
              </w:rPr>
              <w:lastRenderedPageBreak/>
              <w:t xml:space="preserve">Beta-blokator se preporučuje kao dodatak ACE-I (ili ARB ako se ACE-I ne podnosi) kod svih pacijenata sa sistonom sračnom insuficijencijom i T2DM kako bi se smanjio mortalitet i hospitalizacija. </w:t>
            </w:r>
          </w:p>
        </w:tc>
        <w:tc>
          <w:tcPr>
            <w:tcW w:w="851" w:type="dxa"/>
            <w:vAlign w:val="center"/>
          </w:tcPr>
          <w:p w:rsidR="00827F48" w:rsidRPr="00827F48" w:rsidRDefault="00827F48" w:rsidP="004373B5">
            <w:pPr>
              <w:jc w:val="center"/>
              <w:rPr>
                <w:rFonts w:cs="Arial"/>
              </w:rPr>
            </w:pPr>
            <w:r w:rsidRPr="00827F48">
              <w:rPr>
                <w:rFonts w:cs="Arial"/>
              </w:rPr>
              <w:t>I</w:t>
            </w:r>
          </w:p>
        </w:tc>
        <w:tc>
          <w:tcPr>
            <w:tcW w:w="850" w:type="dxa"/>
            <w:vAlign w:val="center"/>
          </w:tcPr>
          <w:p w:rsidR="00827F48" w:rsidRPr="00827F48" w:rsidRDefault="00827F48" w:rsidP="004373B5">
            <w:pPr>
              <w:jc w:val="center"/>
              <w:rPr>
                <w:rFonts w:cs="Arial"/>
              </w:rPr>
            </w:pPr>
            <w:r w:rsidRPr="00827F48">
              <w:rPr>
                <w:rFonts w:cs="Arial"/>
              </w:rPr>
              <w:t>A</w:t>
            </w:r>
          </w:p>
        </w:tc>
        <w:tc>
          <w:tcPr>
            <w:tcW w:w="963" w:type="dxa"/>
            <w:vAlign w:val="center"/>
          </w:tcPr>
          <w:p w:rsidR="00827F48" w:rsidRPr="00827F48" w:rsidRDefault="00827F48" w:rsidP="004373B5">
            <w:pPr>
              <w:jc w:val="center"/>
              <w:rPr>
                <w:rFonts w:cs="Arial"/>
              </w:rPr>
            </w:pPr>
            <w:r w:rsidRPr="00827F48">
              <w:rPr>
                <w:rFonts w:cs="Arial"/>
              </w:rPr>
              <w:t>284, 291, 293, 294, 296, 297</w:t>
            </w:r>
          </w:p>
        </w:tc>
      </w:tr>
      <w:tr w:rsidR="00827F48" w:rsidRPr="00827F48" w:rsidTr="004373B5">
        <w:tc>
          <w:tcPr>
            <w:tcW w:w="6912" w:type="dxa"/>
          </w:tcPr>
          <w:p w:rsidR="00827F48" w:rsidRPr="00827F48" w:rsidRDefault="00827F48" w:rsidP="004373B5">
            <w:pPr>
              <w:rPr>
                <w:rFonts w:cs="Arial"/>
              </w:rPr>
            </w:pPr>
            <w:r w:rsidRPr="00827F48">
              <w:rPr>
                <w:rFonts w:cs="Arial"/>
              </w:rPr>
              <w:t xml:space="preserve">MRA se preporučuju za sve pacijente sa perzistentnim simptomima (NYHA klasa II-IV) i (LVEF ≤35% pored tretmana sa ACE-I (ili ARB ako se ACE-I ne podnosi) i beta blokator, kako bi se smanjio rizik od hospitalizacije radi srčane slabosti i od prerane smrti.    </w:t>
            </w:r>
          </w:p>
        </w:tc>
        <w:tc>
          <w:tcPr>
            <w:tcW w:w="851" w:type="dxa"/>
            <w:vAlign w:val="center"/>
          </w:tcPr>
          <w:p w:rsidR="00827F48" w:rsidRPr="00827F48" w:rsidRDefault="00827F48" w:rsidP="004373B5">
            <w:pPr>
              <w:jc w:val="center"/>
              <w:rPr>
                <w:rFonts w:cs="Arial"/>
              </w:rPr>
            </w:pPr>
            <w:r w:rsidRPr="00827F48">
              <w:rPr>
                <w:rFonts w:cs="Arial"/>
              </w:rPr>
              <w:t>I</w:t>
            </w:r>
          </w:p>
        </w:tc>
        <w:tc>
          <w:tcPr>
            <w:tcW w:w="850" w:type="dxa"/>
            <w:vAlign w:val="center"/>
          </w:tcPr>
          <w:p w:rsidR="00827F48" w:rsidRPr="00827F48" w:rsidRDefault="00827F48" w:rsidP="004373B5">
            <w:pPr>
              <w:jc w:val="center"/>
              <w:rPr>
                <w:rFonts w:cs="Arial"/>
              </w:rPr>
            </w:pPr>
            <w:r w:rsidRPr="00827F48">
              <w:rPr>
                <w:rFonts w:cs="Arial"/>
              </w:rPr>
              <w:t>A</w:t>
            </w:r>
          </w:p>
        </w:tc>
        <w:tc>
          <w:tcPr>
            <w:tcW w:w="963" w:type="dxa"/>
            <w:vAlign w:val="center"/>
          </w:tcPr>
          <w:p w:rsidR="00827F48" w:rsidRPr="00827F48" w:rsidRDefault="00827F48" w:rsidP="004373B5">
            <w:pPr>
              <w:jc w:val="center"/>
              <w:rPr>
                <w:rFonts w:cs="Arial"/>
              </w:rPr>
            </w:pPr>
            <w:r w:rsidRPr="00827F48">
              <w:rPr>
                <w:rFonts w:cs="Arial"/>
              </w:rPr>
              <w:t>290-300</w:t>
            </w:r>
          </w:p>
        </w:tc>
      </w:tr>
      <w:tr w:rsidR="00827F48" w:rsidRPr="00827F48" w:rsidTr="004373B5">
        <w:tc>
          <w:tcPr>
            <w:tcW w:w="6912" w:type="dxa"/>
            <w:tcBorders>
              <w:bottom w:val="single" w:sz="4" w:space="0" w:color="auto"/>
            </w:tcBorders>
          </w:tcPr>
          <w:p w:rsidR="00827F48" w:rsidRPr="00827F48" w:rsidRDefault="00827F48" w:rsidP="004373B5">
            <w:pPr>
              <w:rPr>
                <w:rFonts w:cs="Arial"/>
              </w:rPr>
            </w:pPr>
            <w:r w:rsidRPr="00827F48">
              <w:rPr>
                <w:rFonts w:cs="Arial"/>
              </w:rPr>
              <w:t xml:space="preserve">Dodatak ivabradina ACE-I, beta blokeru ili MRA može se razmotriti kod pacijenata koji imaju sinusni ritam sa T2DM sa srčanom slabošću i LVEF&lt;40%, koji imaju perzistentne simptome (NYHA klasa II-IV) i srčanu frkevencu &gt;70/min i pored optimalne dobro podnošene doze beta blokatora i pored ACE (ili ARB ako se ne podnosi ACE-I) i MRA. </w:t>
            </w:r>
          </w:p>
        </w:tc>
        <w:tc>
          <w:tcPr>
            <w:tcW w:w="851" w:type="dxa"/>
            <w:tcBorders>
              <w:bottom w:val="single" w:sz="4" w:space="0" w:color="auto"/>
            </w:tcBorders>
            <w:vAlign w:val="center"/>
          </w:tcPr>
          <w:p w:rsidR="00827F48" w:rsidRPr="00827F48" w:rsidRDefault="00827F48" w:rsidP="004373B5">
            <w:pPr>
              <w:jc w:val="center"/>
              <w:rPr>
                <w:rFonts w:cs="Arial"/>
              </w:rPr>
            </w:pPr>
            <w:r w:rsidRPr="00827F48">
              <w:rPr>
                <w:rFonts w:cs="Arial"/>
              </w:rPr>
              <w:t>I</w:t>
            </w:r>
          </w:p>
        </w:tc>
        <w:tc>
          <w:tcPr>
            <w:tcW w:w="850" w:type="dxa"/>
            <w:tcBorders>
              <w:bottom w:val="single" w:sz="4" w:space="0" w:color="auto"/>
            </w:tcBorders>
            <w:vAlign w:val="center"/>
          </w:tcPr>
          <w:p w:rsidR="00827F48" w:rsidRPr="00827F48" w:rsidRDefault="00827F48" w:rsidP="004373B5">
            <w:pPr>
              <w:jc w:val="center"/>
              <w:rPr>
                <w:rFonts w:cs="Arial"/>
              </w:rPr>
            </w:pPr>
            <w:r w:rsidRPr="00827F48">
              <w:rPr>
                <w:rFonts w:cs="Arial"/>
              </w:rPr>
              <w:t>A</w:t>
            </w:r>
          </w:p>
        </w:tc>
        <w:tc>
          <w:tcPr>
            <w:tcW w:w="963" w:type="dxa"/>
            <w:tcBorders>
              <w:bottom w:val="single" w:sz="4" w:space="0" w:color="auto"/>
            </w:tcBorders>
            <w:vAlign w:val="center"/>
          </w:tcPr>
          <w:p w:rsidR="00827F48" w:rsidRPr="00827F48" w:rsidRDefault="00827F48" w:rsidP="004373B5">
            <w:pPr>
              <w:jc w:val="center"/>
              <w:rPr>
                <w:rFonts w:cs="Arial"/>
              </w:rPr>
            </w:pPr>
            <w:r w:rsidRPr="00827F48">
              <w:rPr>
                <w:rFonts w:cs="Arial"/>
              </w:rPr>
              <w:t>247, 269</w:t>
            </w:r>
          </w:p>
        </w:tc>
      </w:tr>
      <w:tr w:rsidR="00827F48" w:rsidRPr="00827F48" w:rsidTr="004373B5">
        <w:tc>
          <w:tcPr>
            <w:tcW w:w="6912" w:type="dxa"/>
            <w:tcBorders>
              <w:bottom w:val="single" w:sz="4" w:space="0" w:color="auto"/>
            </w:tcBorders>
          </w:tcPr>
          <w:p w:rsidR="00827F48" w:rsidRPr="00827F48" w:rsidRDefault="00827F48" w:rsidP="004373B5">
            <w:pPr>
              <w:rPr>
                <w:rFonts w:cs="Arial"/>
              </w:rPr>
            </w:pPr>
            <w:r w:rsidRPr="00827F48">
              <w:rPr>
                <w:rFonts w:cs="Arial"/>
              </w:rPr>
              <w:t xml:space="preserve">Tiazolidindioni nebi se trebali koristit kod pacijenata sa srčanom insuficijencijom i sa T2DM jer retencija vode može pogoršati ili isprovocirati srčanu insuficijenciju. </w:t>
            </w:r>
          </w:p>
        </w:tc>
        <w:tc>
          <w:tcPr>
            <w:tcW w:w="851" w:type="dxa"/>
            <w:tcBorders>
              <w:bottom w:val="single" w:sz="4" w:space="0" w:color="auto"/>
            </w:tcBorders>
            <w:vAlign w:val="center"/>
          </w:tcPr>
          <w:p w:rsidR="00827F48" w:rsidRPr="00827F48" w:rsidRDefault="00827F48" w:rsidP="004373B5">
            <w:pPr>
              <w:jc w:val="center"/>
              <w:rPr>
                <w:rFonts w:cs="Arial"/>
              </w:rPr>
            </w:pPr>
            <w:r w:rsidRPr="00827F48">
              <w:rPr>
                <w:rFonts w:cs="Arial"/>
              </w:rPr>
              <w:t>III</w:t>
            </w:r>
          </w:p>
        </w:tc>
        <w:tc>
          <w:tcPr>
            <w:tcW w:w="850" w:type="dxa"/>
            <w:tcBorders>
              <w:bottom w:val="single" w:sz="4" w:space="0" w:color="auto"/>
            </w:tcBorders>
            <w:vAlign w:val="center"/>
          </w:tcPr>
          <w:p w:rsidR="00827F48" w:rsidRPr="00827F48" w:rsidRDefault="00827F48" w:rsidP="004373B5">
            <w:pPr>
              <w:jc w:val="center"/>
              <w:rPr>
                <w:rFonts w:cs="Arial"/>
              </w:rPr>
            </w:pPr>
            <w:r w:rsidRPr="00827F48">
              <w:rPr>
                <w:rFonts w:cs="Arial"/>
              </w:rPr>
              <w:t>B</w:t>
            </w:r>
          </w:p>
        </w:tc>
        <w:tc>
          <w:tcPr>
            <w:tcW w:w="963" w:type="dxa"/>
            <w:tcBorders>
              <w:bottom w:val="single" w:sz="4" w:space="0" w:color="auto"/>
            </w:tcBorders>
            <w:vAlign w:val="center"/>
          </w:tcPr>
          <w:p w:rsidR="00827F48" w:rsidRPr="00827F48" w:rsidRDefault="00827F48" w:rsidP="004373B5">
            <w:pPr>
              <w:jc w:val="center"/>
              <w:rPr>
                <w:rFonts w:cs="Arial"/>
              </w:rPr>
            </w:pPr>
            <w:r w:rsidRPr="00827F48">
              <w:rPr>
                <w:rFonts w:cs="Arial"/>
              </w:rPr>
              <w:t>99, 310, 311</w:t>
            </w:r>
          </w:p>
        </w:tc>
      </w:tr>
      <w:tr w:rsidR="00827F48" w:rsidRPr="00827F48" w:rsidTr="004373B5">
        <w:tc>
          <w:tcPr>
            <w:tcW w:w="9576" w:type="dxa"/>
            <w:gridSpan w:val="4"/>
            <w:tcBorders>
              <w:left w:val="nil"/>
              <w:bottom w:val="nil"/>
              <w:right w:val="nil"/>
            </w:tcBorders>
          </w:tcPr>
          <w:p w:rsidR="00827F48" w:rsidRPr="00827F48" w:rsidRDefault="00827F48" w:rsidP="004373B5">
            <w:pPr>
              <w:rPr>
                <w:rFonts w:cs="Arial"/>
              </w:rPr>
            </w:pPr>
            <w:r w:rsidRPr="00827F48">
              <w:rPr>
                <w:rFonts w:cs="Arial"/>
              </w:rPr>
              <w:t>ACE-I= inhibitori angiotenzin konvertujućeg enzima; ARB= blokatori angiotenzinskih receptora;  LVEF= ejakciona frakcija lijevog ventrikula; MRAT= antagonisti mineralokortikoidnih receptora; NYHA= Njujorško udruženje za srce; T2DM= dijabetes melitus tip 2.</w:t>
            </w:r>
          </w:p>
          <w:p w:rsidR="00827F48" w:rsidRPr="00827F48" w:rsidRDefault="00827F48" w:rsidP="004373B5">
            <w:pPr>
              <w:rPr>
                <w:rFonts w:cs="Arial"/>
              </w:rPr>
            </w:pPr>
            <w:r w:rsidRPr="00827F48">
              <w:rPr>
                <w:rFonts w:cs="Arial"/>
                <w:vertAlign w:val="superscript"/>
              </w:rPr>
              <w:t xml:space="preserve"> A</w:t>
            </w:r>
            <w:r w:rsidRPr="00827F48">
              <w:rPr>
                <w:rFonts w:cs="Arial"/>
              </w:rPr>
              <w:t xml:space="preserve"> Klasa preporuka.</w:t>
            </w:r>
          </w:p>
          <w:p w:rsidR="00827F48" w:rsidRPr="00827F48" w:rsidRDefault="00827F48" w:rsidP="004373B5">
            <w:pPr>
              <w:rPr>
                <w:rFonts w:cs="Arial"/>
              </w:rPr>
            </w:pPr>
            <w:r w:rsidRPr="00827F48">
              <w:rPr>
                <w:rFonts w:cs="Arial"/>
                <w:vertAlign w:val="superscript"/>
              </w:rPr>
              <w:t>B</w:t>
            </w:r>
            <w:r w:rsidRPr="00827F48">
              <w:rPr>
                <w:rFonts w:cs="Arial"/>
              </w:rPr>
              <w:t xml:space="preserve"> Nivo dokaza.</w:t>
            </w:r>
          </w:p>
          <w:p w:rsidR="00827F48" w:rsidRPr="00827F48" w:rsidRDefault="00827F48" w:rsidP="004373B5">
            <w:pPr>
              <w:rPr>
                <w:rFonts w:cs="Arial"/>
              </w:rPr>
            </w:pPr>
            <w:r w:rsidRPr="00827F48">
              <w:rPr>
                <w:rFonts w:cs="Arial"/>
                <w:vertAlign w:val="superscript"/>
              </w:rPr>
              <w:t>C</w:t>
            </w:r>
            <w:r w:rsidRPr="00827F48">
              <w:rPr>
                <w:rFonts w:cs="Arial"/>
              </w:rPr>
              <w:t xml:space="preserve"> Reference koje podržavaju dokaze.</w:t>
            </w:r>
          </w:p>
        </w:tc>
      </w:tr>
    </w:tbl>
    <w:p w:rsidR="00827F48" w:rsidRPr="00827F48" w:rsidRDefault="00827F48" w:rsidP="00827F48">
      <w:pPr>
        <w:rPr>
          <w:rFonts w:cs="Times New Roman"/>
          <w:vertAlign w:val="superscript"/>
        </w:rPr>
      </w:pPr>
    </w:p>
    <w:p w:rsidR="00827F48" w:rsidRPr="00827F48" w:rsidRDefault="00827F48" w:rsidP="00827F48">
      <w:pPr>
        <w:rPr>
          <w:rFonts w:cs="Times New Roman"/>
          <w:b/>
        </w:rPr>
      </w:pPr>
      <w:r w:rsidRPr="00827F48">
        <w:rPr>
          <w:rFonts w:cs="Times New Roman"/>
          <w:b/>
        </w:rPr>
        <w:t>7. Aritmije: atrijalna fibrilacija i iznenadna srčana smrt</w:t>
      </w:r>
    </w:p>
    <w:p w:rsidR="00827F48" w:rsidRPr="00827F48" w:rsidRDefault="00827F48" w:rsidP="00827F48">
      <w:pPr>
        <w:rPr>
          <w:rFonts w:cs="Times New Roman"/>
          <w:b/>
        </w:rPr>
      </w:pPr>
      <w:r w:rsidRPr="00827F48">
        <w:rPr>
          <w:rFonts w:cs="Times New Roman"/>
          <w:b/>
        </w:rPr>
        <w:t xml:space="preserve">7.1 Dijabetes melitus i atrijalna fibrilacija </w:t>
      </w:r>
    </w:p>
    <w:p w:rsidR="00827F48" w:rsidRPr="00827F48" w:rsidRDefault="00827F48" w:rsidP="00827F48">
      <w:pPr>
        <w:rPr>
          <w:rFonts w:cs="Times New Roman"/>
        </w:rPr>
      </w:pPr>
      <w:r w:rsidRPr="00827F48">
        <w:rPr>
          <w:rFonts w:cs="Times New Roman"/>
        </w:rPr>
        <w:t>Individue sa atrijalnom fibrilacijom (AF) su u značajno povećanom riziku od moždanog udara i imaju dvostruko višu stopu mortaliteta od CVD, u poređenju sa onim pacijentima koji imaju sinus ritam.</w:t>
      </w:r>
      <w:r w:rsidRPr="00827F48">
        <w:rPr>
          <w:rFonts w:cs="Times New Roman"/>
          <w:vertAlign w:val="superscript"/>
        </w:rPr>
        <w:t>315,316</w:t>
      </w:r>
      <w:r w:rsidRPr="00827F48">
        <w:rPr>
          <w:rFonts w:cs="Times New Roman"/>
        </w:rPr>
        <w:t xml:space="preserve"> Istraživanje zajednice pokazalo je prisustvo DM kod 13% pacijenata sa AF,</w:t>
      </w:r>
      <w:r w:rsidRPr="00827F48">
        <w:rPr>
          <w:rFonts w:cs="Times New Roman"/>
          <w:vertAlign w:val="superscript"/>
        </w:rPr>
        <w:t>317</w:t>
      </w:r>
      <w:r w:rsidRPr="00827F48">
        <w:rPr>
          <w:rFonts w:cs="Times New Roman"/>
        </w:rPr>
        <w:t xml:space="preserve"> koji su djelili zajedničke predisponirajuće faktore, kao što je hipertenzija, ateroskleroza i gojaznost. U Manitoba studiji gdje je praćeno 3983 muškarca,</w:t>
      </w:r>
      <w:r w:rsidRPr="00827F48">
        <w:rPr>
          <w:rFonts w:cs="Times New Roman"/>
          <w:vertAlign w:val="superscript"/>
        </w:rPr>
        <w:t>318</w:t>
      </w:r>
      <w:r w:rsidRPr="00827F48">
        <w:rPr>
          <w:rFonts w:cs="Times New Roman"/>
        </w:rPr>
        <w:t xml:space="preserve"> DM je bio značajno povezan sa AF, sa relativnim rizokom od 1.82 u univarijantnoj analizi. U multivarijantnom modelu, povezanost sa DM nije bila značajna, što sugeriše da povećan rizik može biti povezan sa ishemičnom srčanom bolešću, hipertenzijom ili srčanom slabošću. Multicentrična studija 11 140 DM pacijenata, potvrdila je da je AF česta kod subjekata sa DM i demonstrirala je da, kada oni koegzistriraju, postoji viši rizik od svih uzroka smrti, kardiovaskularne smrti, moždanog udara, srčane slabosti.</w:t>
      </w:r>
      <w:r w:rsidRPr="00827F48">
        <w:rPr>
          <w:rFonts w:cs="Times New Roman"/>
          <w:vertAlign w:val="superscript"/>
        </w:rPr>
        <w:t>319</w:t>
      </w:r>
      <w:r w:rsidRPr="00827F48">
        <w:rPr>
          <w:rFonts w:cs="Times New Roman"/>
        </w:rPr>
        <w:t xml:space="preserve"> Ovi nalazi sugerišu da AF identifikuje subjekte sa DM koji će vjerovatno imati veću korist od agresivnog tretmana svih kardiovaskularnih faktora rizika. Radi toga što je AF simptomaska-ili blago simptomatska- u značajnoj proporciji (oko 30%) pacijenata, skrining za AF se može preporučiti kod odabranih grupa pacijenata sa T2DM gdje postoji bilo kakva sumnja na paroksizmalnu ili permanentnu AF, pomoću palpacije pulsa, 12-kanalnog EKG-a ili Holter snimanja. </w:t>
      </w:r>
    </w:p>
    <w:p w:rsidR="00827F48" w:rsidRPr="00827F48" w:rsidRDefault="00827F48" w:rsidP="00827F48">
      <w:pPr>
        <w:rPr>
          <w:rFonts w:cs="Times New Roman"/>
        </w:rPr>
      </w:pPr>
      <w:r w:rsidRPr="00827F48">
        <w:rPr>
          <w:rFonts w:cs="Times New Roman"/>
          <w:b/>
        </w:rPr>
        <w:t>Dijabetes i rizik od moždanog udara u atrijalnoj fibrilaciji.</w:t>
      </w:r>
      <w:r w:rsidRPr="00827F48">
        <w:rPr>
          <w:rFonts w:cs="Times New Roman"/>
        </w:rPr>
        <w:t xml:space="preserve"> Nedavno su dva sistematska pregleda proučila pitanje naučne zasnovanosti faktora rizika za moždani udar u AF i izračunali da su značajni </w:t>
      </w:r>
      <w:r w:rsidRPr="00827F48">
        <w:rPr>
          <w:rFonts w:cs="Times New Roman"/>
        </w:rPr>
        <w:lastRenderedPageBreak/>
        <w:t>faktori rizika raniji moždani udar/TIA/tromboembolizam, godine, hipertenzija, DM i strukturalna bolest srca.</w:t>
      </w:r>
      <w:r w:rsidRPr="00827F48">
        <w:rPr>
          <w:rFonts w:cs="Times New Roman"/>
          <w:vertAlign w:val="superscript"/>
        </w:rPr>
        <w:t>320,321</w:t>
      </w:r>
      <w:r w:rsidRPr="00827F48">
        <w:rPr>
          <w:rFonts w:cs="Times New Roman"/>
        </w:rPr>
        <w:t xml:space="preserve"> </w:t>
      </w:r>
    </w:p>
    <w:p w:rsidR="00827F48" w:rsidRPr="00827F48" w:rsidRDefault="00827F48" w:rsidP="00827F48">
      <w:pPr>
        <w:rPr>
          <w:rFonts w:cs="Times New Roman"/>
        </w:rPr>
      </w:pPr>
      <w:r w:rsidRPr="00827F48">
        <w:rPr>
          <w:rFonts w:cs="Times New Roman"/>
          <w:b/>
        </w:rPr>
        <w:t>Šeme stratifikacije rizika dijabetesa i moždanog udara</w:t>
      </w:r>
      <w:r w:rsidRPr="00827F48">
        <w:rPr>
          <w:rFonts w:cs="Times New Roman"/>
        </w:rPr>
        <w:t xml:space="preserve">. Najednostavnija šema je srčana insuficijencija, hipertnezija, starosna dob, dijabetes, moždani udar (duplo) (CHADS2) risk indeks. ESC Smjernice iz 2010 za menadžment AF, ažurirane 2012., predložile su novu šemu. Upotreba „niskog“, „umjerenog“, i „visokog“ rizika je ponovo naglašena, uviđajući da je rizik kontinuum.322,323 Nova šema se izražava kao akronim „CHA2DS2VASc“ [srčana insuficijencija, hipertenzija, starosna dob ≥75 (uduplano), DM, moždani udar (uduplano)-vaskularna bolest, starost 65-74 i kategorija pola (ženski pol)]. Bazirana je na bodovnom sistemu, u kojem se dva boda dodjeljuju za pređašnju istoriju moždanog udara ili TIA, ili starosnu dob ≥ 75 godina, i jedan poen za ostale varijable. Srčana slabost se definiše ili kao klinička srčana slabost ili sistolna disfunkcija LV ( EF &lt;40%), a vaskularna bolest kao istorija MI, kompleksnog plaka na aorti, ili PAD. </w:t>
      </w:r>
    </w:p>
    <w:p w:rsidR="00827F48" w:rsidRPr="00827F48" w:rsidRDefault="00827F48" w:rsidP="00827F48">
      <w:pPr>
        <w:rPr>
          <w:rFonts w:cs="Times New Roman"/>
        </w:rPr>
      </w:pPr>
      <w:r w:rsidRPr="00827F48">
        <w:rPr>
          <w:rFonts w:cs="Times New Roman"/>
          <w:b/>
        </w:rPr>
        <w:t>Antitrombotska terapija kod pacijenata sa dijabetesom</w:t>
      </w:r>
      <w:r w:rsidRPr="00827F48">
        <w:rPr>
          <w:rFonts w:cs="Times New Roman"/>
        </w:rPr>
        <w:t>. Meta-analiza 16 RCTs sa 9874 pacijenta, izvjestila je da je oralana antikoagulacija bila efikasna za primarnu i za sekundranu prevenciju moždanog udara u studijama u kojima je postojala redukcija relativnog rizika od 62% (95% CI 48-72).</w:t>
      </w:r>
      <w:r w:rsidRPr="00827F48">
        <w:rPr>
          <w:rFonts w:cs="Times New Roman"/>
          <w:vertAlign w:val="superscript"/>
        </w:rPr>
        <w:t>324</w:t>
      </w:r>
      <w:r w:rsidRPr="00827F48">
        <w:rPr>
          <w:rFonts w:cs="Times New Roman"/>
        </w:rPr>
        <w:t xml:space="preserve"> Absolutna redukcija rizika je bila 2.7% godišnje za primarnu prevenciju i 8.4% godišnje za sekundarnu prevenciju. Velika ekstrakranijana krvarenja su bila povećana antikoagulantnom terapijom za 0.3% godišnje. Aspirin je smanjio rizik od moždanog udara za samo 22% (95% CI 2-38), sa absolutnom redukcijom rizika od 1.5% godišnje za primarnu prevenciju i 2.5% godišnje za sekundarnu prevenciju. U pet studija koje su poredile antikoagulantnu terapiju sa antiagregacionim lijekovima kod 2837 pacijenata, varfarin je bio efikasniji od aspirina, sa RRR od 36% (95% CI 14-52). Oralna koagulacija sa antagonistom vitamina K (VKAs) ili sa jednim od novih oralnih antikoagulanata (vidi niže), preporučuje se za pacijente sa sa AF,</w:t>
      </w:r>
      <w:r w:rsidRPr="00827F48">
        <w:rPr>
          <w:rFonts w:cs="Times New Roman"/>
          <w:vertAlign w:val="superscript"/>
        </w:rPr>
        <w:t>322,323</w:t>
      </w:r>
      <w:r w:rsidRPr="00827F48">
        <w:rPr>
          <w:rFonts w:cs="Times New Roman"/>
        </w:rPr>
        <w:t xml:space="preserve"> i trebala bi se koristiti kod pacijenata sa DM i sa AF, osim ako nisu kontraindikovani i pod uslovom da su ih pacijenti prihvatili. Sa upotrebom VKA, optimalni internacionalni normalizacioni racio za preveciju moždanog udara i sistemske embolizacije kod pacijenata sa DM je 2.0-3.0. Nizak ciljani INR  (1.8-2.5) predložen je za stariju populaciju, ali ovo nije zasnovano na dokazima. U Atrial fibrillation Clopidogre Trial with Irbesartanom for prevention of Vascular Events (ACTIVE W), varfarin je bio superiorniji u odnosu na klopidogrel plus aspirin (RRR 0.40; 95% CI 18-56), bez razlike u stopi krvarenja.</w:t>
      </w:r>
      <w:r w:rsidRPr="00827F48">
        <w:rPr>
          <w:rFonts w:cs="Times New Roman"/>
          <w:vertAlign w:val="superscript"/>
        </w:rPr>
        <w:t>325</w:t>
      </w:r>
      <w:r w:rsidRPr="00827F48">
        <w:rPr>
          <w:rFonts w:cs="Times New Roman"/>
        </w:rPr>
        <w:t xml:space="preserve"> Aspirinska grupa je našla da su glavni vaskularni događaji bili smanjeni kod pacijenata koji su dobijali aspirin plus klopidogrel, u poređenju sa monoterapijom sa  aspirinom (RR 0.89; P=0.01).</w:t>
      </w:r>
      <w:r w:rsidRPr="00827F48">
        <w:rPr>
          <w:rFonts w:cs="Times New Roman"/>
          <w:vertAlign w:val="superscript"/>
        </w:rPr>
        <w:t>326</w:t>
      </w:r>
      <w:r w:rsidRPr="00827F48">
        <w:rPr>
          <w:rFonts w:cs="Times New Roman"/>
        </w:rPr>
        <w:t xml:space="preserve"> Zato se, terapija aspirin plus klopidogrel, može smatrati kao privremena mjera ako ne odgovara VKA, ali ne kod pacijenata sa visokim rizikom od kravarenja. Kombinacija VKA sa antiagregacionom terapijom ne daje dodatne benefite a vodi ka češćem krvarenju,</w:t>
      </w:r>
      <w:r w:rsidRPr="00827F48">
        <w:rPr>
          <w:rFonts w:cs="Times New Roman"/>
          <w:vertAlign w:val="superscript"/>
        </w:rPr>
        <w:t>322</w:t>
      </w:r>
      <w:r w:rsidRPr="00827F48">
        <w:rPr>
          <w:rFonts w:cs="Times New Roman"/>
        </w:rPr>
        <w:t xml:space="preserve"> i takva bi se kombinacija trebala izbjegavati. </w:t>
      </w:r>
    </w:p>
    <w:p w:rsidR="00827F48" w:rsidRPr="00827F48" w:rsidRDefault="00827F48" w:rsidP="00827F48">
      <w:pPr>
        <w:rPr>
          <w:rFonts w:cs="Times New Roman"/>
        </w:rPr>
      </w:pPr>
      <w:r w:rsidRPr="00827F48">
        <w:rPr>
          <w:rFonts w:cs="Times New Roman"/>
        </w:rPr>
        <w:t>Razvijene se su dvije nove klase antikoagulanata: direktni oralni inhibitor trombina (npr. dabigatran) i oralni inhubitor faktora Xa (npr. rivaroxaban, apixaban, endoxiban i betrixiban). Ovi lijekovi imaju potencijal da budu korišćeni kao alternativa varfarinu, posebno kod pacijenata koji ne tolerišu ili nisu prikladni za VKAs. U analiz predefisinasnih subgrupa u Rivaroxaban Onece Daily Oral Direct Factor Xa Inhibition Compared with Vitamin K Antagonism for Prevention of Stroke and Embolism Trial in Atrial Fibrillation (ROCKET) studija, pacijenti sa DM su imali protekciju sličnu ukupnoj studiji populacije.</w:t>
      </w:r>
      <w:r w:rsidRPr="00827F48">
        <w:rPr>
          <w:rFonts w:cs="Times New Roman"/>
          <w:vertAlign w:val="superscript"/>
        </w:rPr>
        <w:t>327</w:t>
      </w:r>
      <w:r w:rsidRPr="00827F48">
        <w:rPr>
          <w:rFonts w:cs="Times New Roman"/>
        </w:rPr>
        <w:t xml:space="preserve"> </w:t>
      </w:r>
    </w:p>
    <w:p w:rsidR="00827F48" w:rsidRPr="00827F48" w:rsidRDefault="00827F48" w:rsidP="00827F48">
      <w:pPr>
        <w:rPr>
          <w:rFonts w:cs="Times New Roman"/>
        </w:rPr>
      </w:pPr>
      <w:r w:rsidRPr="00827F48">
        <w:rPr>
          <w:rFonts w:cs="Times New Roman"/>
        </w:rPr>
        <w:t xml:space="preserve">Procjena rizika od krvarenja trebala bi se uraditi prije započinjanja antikoagulacije. Koristeći kohortu od 3978 evropskih subjekata sa AF iz  Euro Heart survey, razvijen je jednostavan skor za krvarenje, </w:t>
      </w:r>
      <w:r w:rsidRPr="00827F48">
        <w:rPr>
          <w:rFonts w:cs="Times New Roman"/>
        </w:rPr>
        <w:lastRenderedPageBreak/>
        <w:t>poznat kao „Hypertension (hipertenzija), Abnormal renal/liver function (nenormalna funkcija jetre/bubrega)(po 1 poen svaki), Stroke (Moždani udar), Bleeding hystori (Istorija krvarenja ili sklonost), Labile INR (labilan INR), Elederly (stariji &gt;65g), Drug /alcholol concomitantly (istovremena upotreba lijekova /alkohola) (po 1 poen svaki)“ (HAS BLED),</w:t>
      </w:r>
      <w:r w:rsidRPr="00827F48">
        <w:rPr>
          <w:rFonts w:cs="Times New Roman"/>
          <w:vertAlign w:val="superscript"/>
        </w:rPr>
        <w:t>328</w:t>
      </w:r>
      <w:r w:rsidRPr="00827F48">
        <w:rPr>
          <w:rFonts w:cs="Times New Roman"/>
        </w:rPr>
        <w:t xml:space="preserve"> koji je uključivao hipertenziju, abnormalne jetrene enzime/funkciju bubrega, istorija krvarenja ili sklonost istom, labilan intrancionalni normalizacioni racio, stariji &gt;65g, i lijekovi/alkohol kao riziko faktori za lrvarenje. Skor ≥3 ukazuje na visok rizik te su obazrivost kao i redovne provjere pacijenata potrebni nakon uvođenja antikoagulanten terapije. </w:t>
      </w:r>
    </w:p>
    <w:p w:rsidR="00827F48" w:rsidRPr="00827F48" w:rsidRDefault="00827F48" w:rsidP="00827F48">
      <w:pPr>
        <w:rPr>
          <w:rFonts w:cs="Times New Roman"/>
          <w:b/>
        </w:rPr>
      </w:pPr>
      <w:r w:rsidRPr="00827F48">
        <w:rPr>
          <w:rFonts w:cs="Times New Roman"/>
          <w:b/>
        </w:rPr>
        <w:t xml:space="preserve">7.2 Iznenadna srčana smrt </w:t>
      </w:r>
    </w:p>
    <w:p w:rsidR="00827F48" w:rsidRPr="00827F48" w:rsidRDefault="00827F48" w:rsidP="00827F48">
      <w:pPr>
        <w:rPr>
          <w:rFonts w:cs="Times New Roman"/>
        </w:rPr>
      </w:pPr>
      <w:r w:rsidRPr="00827F48">
        <w:rPr>
          <w:rFonts w:cs="Times New Roman"/>
        </w:rPr>
        <w:t>Studije u opštoj populaciji su pokazale da su subjekti sa DM u višem riziku od iznenadne srčane smrti, koja se ubraja u približno 50% svih smrti kardiovaskularnog porijekla. Većina je prouzrokovana ventrikularnim tahiaritmijama, često provociranim ACS, koji se može pojaviti bez da je od ranije poznato kardiovaskularno oboljenje ili u sklopu strukturne srčane bolesti.329,330 U framnigamskoj studiji, DM je bio povezan sa povećanim rizikom od iznenadne srčane smrti u svim starosnim dobima (skoro četiri puta), i konzistentno je bio veći kod žena nego kod muškaraca.</w:t>
      </w:r>
      <w:r w:rsidRPr="00827F48">
        <w:rPr>
          <w:rFonts w:cs="Times New Roman"/>
          <w:vertAlign w:val="superscript"/>
        </w:rPr>
        <w:t>331</w:t>
      </w:r>
      <w:r w:rsidRPr="00827F48">
        <w:rPr>
          <w:rFonts w:cs="Times New Roman"/>
        </w:rPr>
        <w:t xml:space="preserve"> The Nurses Healt Study,</w:t>
      </w:r>
      <w:r w:rsidRPr="00827F48">
        <w:rPr>
          <w:rFonts w:cs="Times New Roman"/>
          <w:vertAlign w:val="superscript"/>
        </w:rPr>
        <w:t>332</w:t>
      </w:r>
      <w:r w:rsidRPr="00827F48">
        <w:rPr>
          <w:rFonts w:cs="Times New Roman"/>
        </w:rPr>
        <w:t xml:space="preserve"> koja je uključivala 121 701 ženu starosti 30-55 godina, praćenih 22 godine, izvjestila je da se iznenadna srčana smrt pojavila kao prvi znak srčane bolesti u 69% slučajeva. Incidenca iznenadne srčane smrti kod pacijenata sa DM  i LVEF &gt; 35%, nakon što bi imali infarkt, bila je ista onoj kod pacijenata bez DM i sa EF ≤35%. Pacijentima sa T2DM sa kongestivnim srčanim oboljenjem ili oni koji su imali MI, trebali bi se izmjeriti LVEF kako bi se identifikovali kandidati za profilaktičku terapiju sa implantabilnim kardioverter defibrilatorom. Slična sekundarna profilaksa sa implantabilnim kardioverter defibrilatorom, indikovana je kod pacijenata sa DM, reanimiranim od ventrikularne fibrilacije ili sustained-neprekidne ventrikularne tahikardije, kao što je preporučeno u Smjernicama.</w:t>
      </w:r>
      <w:r w:rsidRPr="00827F48">
        <w:rPr>
          <w:rFonts w:cs="Times New Roman"/>
          <w:vertAlign w:val="superscript"/>
        </w:rPr>
        <w:t>333</w:t>
      </w:r>
      <w:r w:rsidRPr="00827F48">
        <w:rPr>
          <w:rFonts w:cs="Times New Roman"/>
        </w:rPr>
        <w:t xml:space="preserve"> Svi pacijenti koji su imali infarkt a koji imaju srčanu slabost, trebali bi takođe biti tretirani sa lijekovima koji prave β blokadu, koji smanjuju iznenadnu srčanu smrt.</w:t>
      </w:r>
      <w:r w:rsidRPr="00827F48">
        <w:rPr>
          <w:rFonts w:cs="Times New Roman"/>
          <w:vertAlign w:val="superscript"/>
        </w:rPr>
        <w:t>329, 330</w:t>
      </w:r>
      <w:r w:rsidRPr="00827F48">
        <w:rPr>
          <w:rFonts w:cs="Times New Roman"/>
        </w:rPr>
        <w:t xml:space="preserve"> Jouven i sardnici</w:t>
      </w:r>
      <w:r w:rsidRPr="00827F48">
        <w:rPr>
          <w:rFonts w:cs="Times New Roman"/>
          <w:vertAlign w:val="superscript"/>
        </w:rPr>
        <w:t>334</w:t>
      </w:r>
      <w:r w:rsidRPr="00827F48">
        <w:rPr>
          <w:rFonts w:cs="Times New Roman"/>
        </w:rPr>
        <w:t xml:space="preserve"> su proučavali RR iznenadne srčane smrti kod grupa pacijenata sa različitim stepenima poremećaja glukoze i pokazali su da su više vrijednosti glikemije vodile većem riziku. Nakon podešavanja, čak su i pacijenti sa graničnim DM- definisan kao glukoza bez gladovanja između 7.7 i 11.1 mmol/l (140 i 200 mg/dl)- imali su povećan rizik od iznenadne srčane smrti (OR 1.24, u poređenju sa pacijentima sa normoglikemijom). Prisustvo mikrovaskularne bolesti i ženski pol povećali su rizik u obje grupe. Nedavna studija je pokazala da su autonomni markeri, kao što su turbulencija srčane frekvence i kapacitet za deceleraciju iz 24h Holter monitoringa, predvidjeli pojavu srčane smrti i iznenadne srčane smrti  među pacijentima sa T2DM, koji su imali skorašnji MI.</w:t>
      </w:r>
      <w:r w:rsidRPr="00827F48">
        <w:rPr>
          <w:rFonts w:cs="Times New Roman"/>
          <w:vertAlign w:val="superscript"/>
        </w:rPr>
        <w:t>335</w:t>
      </w:r>
      <w:r w:rsidRPr="00827F48">
        <w:rPr>
          <w:rFonts w:cs="Times New Roman"/>
        </w:rPr>
        <w:t xml:space="preserve">  </w:t>
      </w:r>
    </w:p>
    <w:p w:rsidR="00827F48" w:rsidRPr="00827F48" w:rsidRDefault="00827F48" w:rsidP="00827F48">
      <w:pPr>
        <w:rPr>
          <w:rFonts w:cs="Times New Roman"/>
        </w:rPr>
      </w:pPr>
      <w:r w:rsidRPr="00827F48">
        <w:rPr>
          <w:rFonts w:cs="Times New Roman"/>
        </w:rPr>
        <w:t>Kardiovaskularna autonomna neuropatija je bila značajno povezana sa subsekventnim mortalitetom kod ljudi sa DM u meta-analizi 15 studija.</w:t>
      </w:r>
      <w:r w:rsidRPr="00827F48">
        <w:rPr>
          <w:rFonts w:cs="Times New Roman"/>
          <w:vertAlign w:val="superscript"/>
        </w:rPr>
        <w:t>336</w:t>
      </w:r>
      <w:r w:rsidRPr="00827F48">
        <w:rPr>
          <w:rFonts w:cs="Times New Roman"/>
        </w:rPr>
        <w:t xml:space="preserve"> The MONICA/KORA (World Health Organisation Monitoring Trends and Determinants in Cardiovascular Disease/Kooperative Health Research in the Region Augsburg) studija, izvjestila je da je QTc bio nezavisan prediktor iznenadne smrti, povezan sa povećanjem mortaliteta od tri puta kod pacijenata sa DM i dva puta kod pacijenata bez DM.</w:t>
      </w:r>
      <w:r w:rsidRPr="00827F48">
        <w:rPr>
          <w:rFonts w:cs="Times New Roman"/>
          <w:vertAlign w:val="superscript"/>
        </w:rPr>
        <w:t>337</w:t>
      </w:r>
      <w:r w:rsidRPr="00827F48">
        <w:rPr>
          <w:rFonts w:cs="Times New Roman"/>
        </w:rPr>
        <w:t xml:space="preserve"> Mjerenja varijabiliteta srčane frekevence i QTc mogla bi postati vrijedna kao prediktora  iznenadne srčane smrti kod pacijenata sa DM, ali dokazi kojima bi se ovo potkrijepilo kao generalna preporuka još uvijek nedostaju. </w:t>
      </w:r>
    </w:p>
    <w:tbl>
      <w:tblPr>
        <w:tblStyle w:val="TableGrid"/>
        <w:tblW w:w="0" w:type="auto"/>
        <w:tblLook w:val="04A0" w:firstRow="1" w:lastRow="0" w:firstColumn="1" w:lastColumn="0" w:noHBand="0" w:noVBand="1"/>
      </w:tblPr>
      <w:tblGrid>
        <w:gridCol w:w="6652"/>
        <w:gridCol w:w="847"/>
        <w:gridCol w:w="843"/>
        <w:gridCol w:w="946"/>
      </w:tblGrid>
      <w:tr w:rsidR="00827F48" w:rsidRPr="00827F48" w:rsidTr="004373B5">
        <w:tc>
          <w:tcPr>
            <w:tcW w:w="9576" w:type="dxa"/>
            <w:gridSpan w:val="4"/>
            <w:tcBorders>
              <w:top w:val="nil"/>
              <w:left w:val="nil"/>
              <w:right w:val="nil"/>
            </w:tcBorders>
          </w:tcPr>
          <w:p w:rsidR="00827F48" w:rsidRPr="00827F48" w:rsidRDefault="00827F48" w:rsidP="004373B5">
            <w:pPr>
              <w:rPr>
                <w:rFonts w:cs="Arial"/>
              </w:rPr>
            </w:pPr>
            <w:r w:rsidRPr="00827F48">
              <w:rPr>
                <w:rFonts w:cs="Arial"/>
              </w:rPr>
              <w:t>Preporuke za menadžment aritmija kod pacijenata sa dijabetesom melitusom</w:t>
            </w:r>
          </w:p>
        </w:tc>
      </w:tr>
      <w:tr w:rsidR="00827F48" w:rsidRPr="00827F48" w:rsidTr="004373B5">
        <w:tc>
          <w:tcPr>
            <w:tcW w:w="9576" w:type="dxa"/>
            <w:gridSpan w:val="4"/>
          </w:tcPr>
          <w:p w:rsidR="00827F48" w:rsidRPr="00827F48" w:rsidRDefault="00827F48" w:rsidP="004373B5">
            <w:pPr>
              <w:rPr>
                <w:rFonts w:cs="Arial"/>
              </w:rPr>
            </w:pPr>
            <w:r w:rsidRPr="00827F48">
              <w:rPr>
                <w:rFonts w:cs="Arial"/>
              </w:rPr>
              <w:lastRenderedPageBreak/>
              <w:t>Menadžment aritmija kod pacijenata sa dijabetesom melitusom</w:t>
            </w:r>
          </w:p>
        </w:tc>
      </w:tr>
      <w:tr w:rsidR="00827F48" w:rsidRPr="00827F48" w:rsidTr="004373B5">
        <w:tc>
          <w:tcPr>
            <w:tcW w:w="6912" w:type="dxa"/>
          </w:tcPr>
          <w:p w:rsidR="00827F48" w:rsidRPr="00827F48" w:rsidRDefault="00827F48" w:rsidP="004373B5">
            <w:pPr>
              <w:rPr>
                <w:rFonts w:cs="Arial"/>
                <w:b/>
              </w:rPr>
            </w:pPr>
            <w:r w:rsidRPr="00827F48">
              <w:rPr>
                <w:rFonts w:cs="Arial"/>
                <w:b/>
              </w:rPr>
              <w:t xml:space="preserve">Preporuke </w:t>
            </w:r>
          </w:p>
        </w:tc>
        <w:tc>
          <w:tcPr>
            <w:tcW w:w="851" w:type="dxa"/>
          </w:tcPr>
          <w:p w:rsidR="00827F48" w:rsidRPr="00827F48" w:rsidRDefault="00827F48" w:rsidP="004373B5">
            <w:pPr>
              <w:rPr>
                <w:rFonts w:cs="Arial"/>
                <w:b/>
              </w:rPr>
            </w:pPr>
            <w:r w:rsidRPr="00827F48">
              <w:rPr>
                <w:rFonts w:cs="Arial"/>
                <w:b/>
              </w:rPr>
              <w:t>Klasa</w:t>
            </w:r>
            <w:r w:rsidRPr="00827F48">
              <w:rPr>
                <w:rFonts w:cs="Arial"/>
                <w:b/>
                <w:vertAlign w:val="superscript"/>
              </w:rPr>
              <w:t>a</w:t>
            </w:r>
          </w:p>
        </w:tc>
        <w:tc>
          <w:tcPr>
            <w:tcW w:w="850" w:type="dxa"/>
          </w:tcPr>
          <w:p w:rsidR="00827F48" w:rsidRPr="00827F48" w:rsidRDefault="00827F48" w:rsidP="004373B5">
            <w:pPr>
              <w:rPr>
                <w:rFonts w:cs="Arial"/>
                <w:b/>
              </w:rPr>
            </w:pPr>
            <w:r w:rsidRPr="00827F48">
              <w:rPr>
                <w:rFonts w:cs="Arial"/>
                <w:b/>
              </w:rPr>
              <w:t>Nivo</w:t>
            </w:r>
            <w:r w:rsidRPr="00827F48">
              <w:rPr>
                <w:rFonts w:cs="Arial"/>
                <w:b/>
                <w:vertAlign w:val="superscript"/>
              </w:rPr>
              <w:t>b</w:t>
            </w:r>
          </w:p>
        </w:tc>
        <w:tc>
          <w:tcPr>
            <w:tcW w:w="963" w:type="dxa"/>
          </w:tcPr>
          <w:p w:rsidR="00827F48" w:rsidRPr="00827F48" w:rsidRDefault="00827F48" w:rsidP="004373B5">
            <w:pPr>
              <w:rPr>
                <w:rFonts w:cs="Arial"/>
                <w:b/>
              </w:rPr>
            </w:pPr>
            <w:r w:rsidRPr="00827F48">
              <w:rPr>
                <w:rFonts w:cs="Arial"/>
                <w:b/>
              </w:rPr>
              <w:t>Ref.</w:t>
            </w:r>
            <w:r w:rsidRPr="00827F48">
              <w:rPr>
                <w:rFonts w:cs="Arial"/>
                <w:b/>
                <w:vertAlign w:val="superscript"/>
              </w:rPr>
              <w:t>c</w:t>
            </w:r>
          </w:p>
        </w:tc>
      </w:tr>
      <w:tr w:rsidR="00827F48" w:rsidRPr="00827F48" w:rsidTr="004373B5">
        <w:tc>
          <w:tcPr>
            <w:tcW w:w="6912" w:type="dxa"/>
          </w:tcPr>
          <w:p w:rsidR="00827F48" w:rsidRPr="00827F48" w:rsidRDefault="00827F48" w:rsidP="004373B5">
            <w:pPr>
              <w:rPr>
                <w:rFonts w:cs="Arial"/>
              </w:rPr>
            </w:pPr>
            <w:r w:rsidRPr="00827F48">
              <w:rPr>
                <w:rFonts w:cs="Arial"/>
              </w:rPr>
              <w:t xml:space="preserve">Skining za AF trebao bi se razmotriti jer je čest kod pacijenata sa T2DM  i povećava morbiditet i mortalitet. </w:t>
            </w:r>
          </w:p>
        </w:tc>
        <w:tc>
          <w:tcPr>
            <w:tcW w:w="851" w:type="dxa"/>
            <w:vAlign w:val="center"/>
          </w:tcPr>
          <w:p w:rsidR="00827F48" w:rsidRPr="00827F48" w:rsidRDefault="00827F48" w:rsidP="004373B5">
            <w:pPr>
              <w:jc w:val="center"/>
              <w:rPr>
                <w:rFonts w:cs="Arial"/>
              </w:rPr>
            </w:pPr>
            <w:r w:rsidRPr="00827F48">
              <w:rPr>
                <w:rFonts w:cs="Arial"/>
              </w:rPr>
              <w:t>IIa</w:t>
            </w:r>
          </w:p>
        </w:tc>
        <w:tc>
          <w:tcPr>
            <w:tcW w:w="850" w:type="dxa"/>
            <w:vAlign w:val="center"/>
          </w:tcPr>
          <w:p w:rsidR="00827F48" w:rsidRPr="00827F48" w:rsidRDefault="00827F48" w:rsidP="004373B5">
            <w:pPr>
              <w:jc w:val="center"/>
              <w:rPr>
                <w:rFonts w:cs="Arial"/>
              </w:rPr>
            </w:pPr>
            <w:r w:rsidRPr="00827F48">
              <w:rPr>
                <w:rFonts w:cs="Arial"/>
              </w:rPr>
              <w:t>C</w:t>
            </w:r>
          </w:p>
        </w:tc>
        <w:tc>
          <w:tcPr>
            <w:tcW w:w="963" w:type="dxa"/>
            <w:vAlign w:val="center"/>
          </w:tcPr>
          <w:p w:rsidR="00827F48" w:rsidRPr="00827F48" w:rsidRDefault="00827F48" w:rsidP="004373B5">
            <w:pPr>
              <w:jc w:val="center"/>
              <w:rPr>
                <w:rFonts w:cs="Arial"/>
              </w:rPr>
            </w:pPr>
            <w:r w:rsidRPr="00827F48">
              <w:rPr>
                <w:rFonts w:cs="Arial"/>
              </w:rPr>
              <w:t>-</w:t>
            </w:r>
          </w:p>
        </w:tc>
      </w:tr>
      <w:tr w:rsidR="00827F48" w:rsidRPr="00827F48" w:rsidTr="004373B5">
        <w:tc>
          <w:tcPr>
            <w:tcW w:w="6912" w:type="dxa"/>
          </w:tcPr>
          <w:p w:rsidR="00827F48" w:rsidRPr="00827F48" w:rsidRDefault="00827F48" w:rsidP="004373B5">
            <w:pPr>
              <w:rPr>
                <w:rFonts w:cs="Arial"/>
              </w:rPr>
            </w:pPr>
            <w:r w:rsidRPr="00827F48">
              <w:rPr>
                <w:rFonts w:cs="Arial"/>
              </w:rPr>
              <w:t xml:space="preserve">Oralna antikoagulacija sa VKAs ili sa NOAC (npr. dabigatran, rivaroxaban ili apixaban), preporučuje se kod pacijenata sa DM sa AF (paroksizmalnom i perzistentnom) ako nije kontraindikovana.   </w:t>
            </w:r>
          </w:p>
        </w:tc>
        <w:tc>
          <w:tcPr>
            <w:tcW w:w="851" w:type="dxa"/>
            <w:vAlign w:val="center"/>
          </w:tcPr>
          <w:p w:rsidR="00827F48" w:rsidRPr="00827F48" w:rsidRDefault="00827F48" w:rsidP="004373B5">
            <w:pPr>
              <w:jc w:val="center"/>
              <w:rPr>
                <w:rFonts w:cs="Arial"/>
              </w:rPr>
            </w:pPr>
            <w:r w:rsidRPr="00827F48">
              <w:rPr>
                <w:rFonts w:cs="Arial"/>
              </w:rPr>
              <w:t>I</w:t>
            </w:r>
          </w:p>
        </w:tc>
        <w:tc>
          <w:tcPr>
            <w:tcW w:w="850" w:type="dxa"/>
            <w:vAlign w:val="center"/>
          </w:tcPr>
          <w:p w:rsidR="00827F48" w:rsidRPr="00827F48" w:rsidRDefault="00827F48" w:rsidP="004373B5">
            <w:pPr>
              <w:jc w:val="center"/>
              <w:rPr>
                <w:rFonts w:cs="Arial"/>
              </w:rPr>
            </w:pPr>
            <w:r w:rsidRPr="00827F48">
              <w:rPr>
                <w:rFonts w:cs="Arial"/>
              </w:rPr>
              <w:t>A</w:t>
            </w:r>
          </w:p>
        </w:tc>
        <w:tc>
          <w:tcPr>
            <w:tcW w:w="963" w:type="dxa"/>
            <w:vAlign w:val="center"/>
          </w:tcPr>
          <w:p w:rsidR="00827F48" w:rsidRPr="00827F48" w:rsidRDefault="00827F48" w:rsidP="004373B5">
            <w:pPr>
              <w:jc w:val="center"/>
              <w:rPr>
                <w:rFonts w:cs="Arial"/>
              </w:rPr>
            </w:pPr>
            <w:r w:rsidRPr="00827F48">
              <w:rPr>
                <w:rFonts w:cs="Arial"/>
              </w:rPr>
              <w:t xml:space="preserve">322, 323, 325-327, 338, 339 </w:t>
            </w:r>
          </w:p>
        </w:tc>
      </w:tr>
      <w:tr w:rsidR="00827F48" w:rsidRPr="00827F48" w:rsidTr="004373B5">
        <w:tc>
          <w:tcPr>
            <w:tcW w:w="6912" w:type="dxa"/>
          </w:tcPr>
          <w:p w:rsidR="00827F48" w:rsidRPr="00827F48" w:rsidRDefault="00827F48" w:rsidP="004373B5">
            <w:pPr>
              <w:rPr>
                <w:rFonts w:cs="Arial"/>
              </w:rPr>
            </w:pPr>
            <w:r w:rsidRPr="00827F48">
              <w:rPr>
                <w:rFonts w:cs="Arial"/>
              </w:rPr>
              <w:t xml:space="preserve">Procjena rizika od krvarenja (npr. HAS-BLED skor) trebala bi se razmotriti kada se propisuje antitrombotska terapija kod pacijenata sa AF i DM.  </w:t>
            </w:r>
          </w:p>
        </w:tc>
        <w:tc>
          <w:tcPr>
            <w:tcW w:w="851" w:type="dxa"/>
            <w:vAlign w:val="center"/>
          </w:tcPr>
          <w:p w:rsidR="00827F48" w:rsidRPr="00827F48" w:rsidRDefault="00827F48" w:rsidP="004373B5">
            <w:pPr>
              <w:jc w:val="center"/>
              <w:rPr>
                <w:rFonts w:cs="Arial"/>
              </w:rPr>
            </w:pPr>
            <w:r w:rsidRPr="00827F48">
              <w:rPr>
                <w:rFonts w:cs="Arial"/>
              </w:rPr>
              <w:t>IIa</w:t>
            </w:r>
          </w:p>
        </w:tc>
        <w:tc>
          <w:tcPr>
            <w:tcW w:w="850" w:type="dxa"/>
            <w:vAlign w:val="center"/>
          </w:tcPr>
          <w:p w:rsidR="00827F48" w:rsidRPr="00827F48" w:rsidRDefault="00827F48" w:rsidP="004373B5">
            <w:pPr>
              <w:jc w:val="center"/>
              <w:rPr>
                <w:rFonts w:cs="Arial"/>
              </w:rPr>
            </w:pPr>
            <w:r w:rsidRPr="00827F48">
              <w:rPr>
                <w:rFonts w:cs="Arial"/>
              </w:rPr>
              <w:t>C</w:t>
            </w:r>
          </w:p>
        </w:tc>
        <w:tc>
          <w:tcPr>
            <w:tcW w:w="963" w:type="dxa"/>
            <w:vAlign w:val="center"/>
          </w:tcPr>
          <w:p w:rsidR="00827F48" w:rsidRPr="00827F48" w:rsidRDefault="00827F48" w:rsidP="004373B5">
            <w:pPr>
              <w:jc w:val="center"/>
              <w:rPr>
                <w:rFonts w:cs="Arial"/>
              </w:rPr>
            </w:pPr>
            <w:r w:rsidRPr="00827F48">
              <w:rPr>
                <w:rFonts w:cs="Arial"/>
              </w:rPr>
              <w:t>-</w:t>
            </w:r>
          </w:p>
        </w:tc>
      </w:tr>
      <w:tr w:rsidR="00827F48" w:rsidRPr="00827F48" w:rsidTr="004373B5">
        <w:tc>
          <w:tcPr>
            <w:tcW w:w="6912" w:type="dxa"/>
          </w:tcPr>
          <w:p w:rsidR="00827F48" w:rsidRPr="00827F48" w:rsidRDefault="00827F48" w:rsidP="004373B5">
            <w:pPr>
              <w:rPr>
                <w:rFonts w:cs="Arial"/>
              </w:rPr>
            </w:pPr>
            <w:r w:rsidRPr="00827F48">
              <w:rPr>
                <w:rFonts w:cs="Arial"/>
              </w:rPr>
              <w:t xml:space="preserve">Skrining za faktore rizika iznenadne srčane smrti, trebao bi se razmotriti kod pacijenata koji imaju DM.     </w:t>
            </w:r>
          </w:p>
        </w:tc>
        <w:tc>
          <w:tcPr>
            <w:tcW w:w="851" w:type="dxa"/>
            <w:vAlign w:val="center"/>
          </w:tcPr>
          <w:p w:rsidR="00827F48" w:rsidRPr="00827F48" w:rsidRDefault="00827F48" w:rsidP="004373B5">
            <w:pPr>
              <w:jc w:val="center"/>
              <w:rPr>
                <w:rFonts w:cs="Arial"/>
              </w:rPr>
            </w:pPr>
            <w:r w:rsidRPr="00827F48">
              <w:rPr>
                <w:rFonts w:cs="Arial"/>
              </w:rPr>
              <w:t>IIa</w:t>
            </w:r>
          </w:p>
        </w:tc>
        <w:tc>
          <w:tcPr>
            <w:tcW w:w="850" w:type="dxa"/>
            <w:vAlign w:val="center"/>
          </w:tcPr>
          <w:p w:rsidR="00827F48" w:rsidRPr="00827F48" w:rsidRDefault="00827F48" w:rsidP="004373B5">
            <w:pPr>
              <w:jc w:val="center"/>
              <w:rPr>
                <w:rFonts w:cs="Arial"/>
              </w:rPr>
            </w:pPr>
            <w:r w:rsidRPr="00827F48">
              <w:rPr>
                <w:rFonts w:cs="Arial"/>
              </w:rPr>
              <w:t>C</w:t>
            </w:r>
          </w:p>
        </w:tc>
        <w:tc>
          <w:tcPr>
            <w:tcW w:w="963" w:type="dxa"/>
            <w:vAlign w:val="center"/>
          </w:tcPr>
          <w:p w:rsidR="00827F48" w:rsidRPr="00827F48" w:rsidRDefault="00827F48" w:rsidP="004373B5">
            <w:pPr>
              <w:jc w:val="center"/>
              <w:rPr>
                <w:rFonts w:cs="Arial"/>
              </w:rPr>
            </w:pPr>
            <w:r w:rsidRPr="00827F48">
              <w:rPr>
                <w:rFonts w:cs="Arial"/>
              </w:rPr>
              <w:t>-</w:t>
            </w:r>
          </w:p>
        </w:tc>
      </w:tr>
      <w:tr w:rsidR="00827F48" w:rsidRPr="00827F48" w:rsidTr="004373B5">
        <w:tc>
          <w:tcPr>
            <w:tcW w:w="6912" w:type="dxa"/>
            <w:tcBorders>
              <w:bottom w:val="single" w:sz="4" w:space="0" w:color="auto"/>
            </w:tcBorders>
          </w:tcPr>
          <w:p w:rsidR="00827F48" w:rsidRPr="00827F48" w:rsidRDefault="00827F48" w:rsidP="004373B5">
            <w:pPr>
              <w:rPr>
                <w:rFonts w:cs="Arial"/>
              </w:rPr>
            </w:pPr>
            <w:r w:rsidRPr="00827F48">
              <w:rPr>
                <w:rFonts w:cs="Arial"/>
              </w:rPr>
              <w:t xml:space="preserve">Implantabilni kardioverter defibrilator su preporučeni kod pacijenata sa DM i ishemičnom kardiomiopatijom sa LVEF &lt;35% i onih reanimiranih od ventrikularne fibrilacije ili stalne-sustained ventrikularne tahikardije. </w:t>
            </w:r>
          </w:p>
        </w:tc>
        <w:tc>
          <w:tcPr>
            <w:tcW w:w="851" w:type="dxa"/>
            <w:tcBorders>
              <w:bottom w:val="single" w:sz="4" w:space="0" w:color="auto"/>
            </w:tcBorders>
            <w:vAlign w:val="center"/>
          </w:tcPr>
          <w:p w:rsidR="00827F48" w:rsidRPr="00827F48" w:rsidRDefault="00827F48" w:rsidP="004373B5">
            <w:pPr>
              <w:jc w:val="center"/>
              <w:rPr>
                <w:rFonts w:cs="Arial"/>
              </w:rPr>
            </w:pPr>
            <w:r w:rsidRPr="00827F48">
              <w:rPr>
                <w:rFonts w:cs="Arial"/>
              </w:rPr>
              <w:t>I</w:t>
            </w:r>
          </w:p>
        </w:tc>
        <w:tc>
          <w:tcPr>
            <w:tcW w:w="850" w:type="dxa"/>
            <w:tcBorders>
              <w:bottom w:val="single" w:sz="4" w:space="0" w:color="auto"/>
            </w:tcBorders>
            <w:vAlign w:val="center"/>
          </w:tcPr>
          <w:p w:rsidR="00827F48" w:rsidRPr="00827F48" w:rsidRDefault="00827F48" w:rsidP="004373B5">
            <w:pPr>
              <w:jc w:val="center"/>
              <w:rPr>
                <w:rFonts w:cs="Arial"/>
              </w:rPr>
            </w:pPr>
            <w:r w:rsidRPr="00827F48">
              <w:rPr>
                <w:rFonts w:cs="Arial"/>
              </w:rPr>
              <w:t>A</w:t>
            </w:r>
          </w:p>
        </w:tc>
        <w:tc>
          <w:tcPr>
            <w:tcW w:w="963" w:type="dxa"/>
            <w:tcBorders>
              <w:bottom w:val="single" w:sz="4" w:space="0" w:color="auto"/>
            </w:tcBorders>
            <w:vAlign w:val="center"/>
          </w:tcPr>
          <w:p w:rsidR="00827F48" w:rsidRPr="00827F48" w:rsidRDefault="00827F48" w:rsidP="004373B5">
            <w:pPr>
              <w:jc w:val="center"/>
              <w:rPr>
                <w:rFonts w:cs="Arial"/>
              </w:rPr>
            </w:pPr>
            <w:r w:rsidRPr="00827F48">
              <w:rPr>
                <w:rFonts w:cs="Arial"/>
              </w:rPr>
              <w:t>333</w:t>
            </w:r>
          </w:p>
        </w:tc>
      </w:tr>
      <w:tr w:rsidR="00827F48" w:rsidRPr="00827F48" w:rsidTr="004373B5">
        <w:tc>
          <w:tcPr>
            <w:tcW w:w="6912" w:type="dxa"/>
            <w:tcBorders>
              <w:bottom w:val="single" w:sz="4" w:space="0" w:color="auto"/>
            </w:tcBorders>
          </w:tcPr>
          <w:p w:rsidR="00827F48" w:rsidRPr="00827F48" w:rsidRDefault="00827F48" w:rsidP="004373B5">
            <w:pPr>
              <w:rPr>
                <w:rFonts w:cs="Arial"/>
              </w:rPr>
            </w:pPr>
            <w:r w:rsidRPr="00827F48">
              <w:rPr>
                <w:rFonts w:cs="Arial"/>
              </w:rPr>
              <w:t xml:space="preserve">Beta-blokatori su preporučeni za pacijente sa DM sa srčanom insuficijencijom nakon akutnog MI kako bi se prevenirala iznenadna srčana smrt.  </w:t>
            </w:r>
          </w:p>
        </w:tc>
        <w:tc>
          <w:tcPr>
            <w:tcW w:w="851" w:type="dxa"/>
            <w:tcBorders>
              <w:bottom w:val="single" w:sz="4" w:space="0" w:color="auto"/>
            </w:tcBorders>
            <w:vAlign w:val="center"/>
          </w:tcPr>
          <w:p w:rsidR="00827F48" w:rsidRPr="00827F48" w:rsidRDefault="00827F48" w:rsidP="004373B5">
            <w:pPr>
              <w:jc w:val="center"/>
              <w:rPr>
                <w:rFonts w:cs="Arial"/>
              </w:rPr>
            </w:pPr>
            <w:r w:rsidRPr="00827F48">
              <w:rPr>
                <w:rFonts w:cs="Arial"/>
              </w:rPr>
              <w:t>I</w:t>
            </w:r>
          </w:p>
        </w:tc>
        <w:tc>
          <w:tcPr>
            <w:tcW w:w="850" w:type="dxa"/>
            <w:tcBorders>
              <w:bottom w:val="single" w:sz="4" w:space="0" w:color="auto"/>
            </w:tcBorders>
            <w:vAlign w:val="center"/>
          </w:tcPr>
          <w:p w:rsidR="00827F48" w:rsidRPr="00827F48" w:rsidRDefault="00827F48" w:rsidP="004373B5">
            <w:pPr>
              <w:jc w:val="center"/>
              <w:rPr>
                <w:rFonts w:cs="Arial"/>
              </w:rPr>
            </w:pPr>
            <w:r w:rsidRPr="00827F48">
              <w:rPr>
                <w:rFonts w:cs="Arial"/>
              </w:rPr>
              <w:t>A</w:t>
            </w:r>
          </w:p>
        </w:tc>
        <w:tc>
          <w:tcPr>
            <w:tcW w:w="963" w:type="dxa"/>
            <w:tcBorders>
              <w:bottom w:val="single" w:sz="4" w:space="0" w:color="auto"/>
            </w:tcBorders>
            <w:vAlign w:val="center"/>
          </w:tcPr>
          <w:p w:rsidR="00827F48" w:rsidRPr="00827F48" w:rsidRDefault="00827F48" w:rsidP="004373B5">
            <w:pPr>
              <w:jc w:val="center"/>
              <w:rPr>
                <w:rFonts w:cs="Arial"/>
              </w:rPr>
            </w:pPr>
            <w:r w:rsidRPr="00827F48">
              <w:rPr>
                <w:rFonts w:cs="Arial"/>
              </w:rPr>
              <w:t>284, 291, 293, 294, 296, 297, 329, 330</w:t>
            </w:r>
          </w:p>
        </w:tc>
      </w:tr>
      <w:tr w:rsidR="00827F48" w:rsidRPr="00827F48" w:rsidTr="004373B5">
        <w:tc>
          <w:tcPr>
            <w:tcW w:w="9576" w:type="dxa"/>
            <w:gridSpan w:val="4"/>
            <w:tcBorders>
              <w:left w:val="nil"/>
              <w:bottom w:val="nil"/>
              <w:right w:val="nil"/>
            </w:tcBorders>
          </w:tcPr>
          <w:p w:rsidR="00827F48" w:rsidRPr="00827F48" w:rsidRDefault="00827F48" w:rsidP="004373B5">
            <w:pPr>
              <w:rPr>
                <w:rFonts w:cs="Arial"/>
              </w:rPr>
            </w:pPr>
            <w:r w:rsidRPr="00827F48">
              <w:rPr>
                <w:rFonts w:cs="Arial"/>
              </w:rPr>
              <w:t xml:space="preserve">AF= atrijalna fibrilacija; DM= dijabetes melitus; EF= ejekciona frakcija; LV = lijevi ventrikul; NOAC= novi  oralni antikoagulansi; VKA= antagonsiti vitamina K. </w:t>
            </w:r>
          </w:p>
          <w:p w:rsidR="00827F48" w:rsidRPr="00827F48" w:rsidRDefault="00827F48" w:rsidP="004373B5">
            <w:pPr>
              <w:rPr>
                <w:rFonts w:cs="Arial"/>
              </w:rPr>
            </w:pPr>
            <w:r w:rsidRPr="00827F48">
              <w:rPr>
                <w:rFonts w:cs="Arial"/>
                <w:vertAlign w:val="superscript"/>
              </w:rPr>
              <w:t xml:space="preserve"> A</w:t>
            </w:r>
            <w:r w:rsidRPr="00827F48">
              <w:rPr>
                <w:rFonts w:cs="Arial"/>
              </w:rPr>
              <w:t xml:space="preserve"> Klasa preporuka.</w:t>
            </w:r>
          </w:p>
          <w:p w:rsidR="00827F48" w:rsidRPr="00827F48" w:rsidRDefault="00827F48" w:rsidP="004373B5">
            <w:pPr>
              <w:rPr>
                <w:rFonts w:cs="Arial"/>
              </w:rPr>
            </w:pPr>
            <w:r w:rsidRPr="00827F48">
              <w:rPr>
                <w:rFonts w:cs="Arial"/>
                <w:vertAlign w:val="superscript"/>
              </w:rPr>
              <w:t>B</w:t>
            </w:r>
            <w:r w:rsidRPr="00827F48">
              <w:rPr>
                <w:rFonts w:cs="Arial"/>
              </w:rPr>
              <w:t xml:space="preserve"> Nivo dokaza.</w:t>
            </w:r>
          </w:p>
          <w:p w:rsidR="00827F48" w:rsidRPr="00827F48" w:rsidRDefault="00827F48" w:rsidP="004373B5">
            <w:pPr>
              <w:rPr>
                <w:rFonts w:cs="Arial"/>
              </w:rPr>
            </w:pPr>
            <w:r w:rsidRPr="00827F48">
              <w:rPr>
                <w:rFonts w:cs="Arial"/>
                <w:vertAlign w:val="superscript"/>
              </w:rPr>
              <w:t>C</w:t>
            </w:r>
            <w:r w:rsidRPr="00827F48">
              <w:rPr>
                <w:rFonts w:cs="Arial"/>
              </w:rPr>
              <w:t xml:space="preserve"> Reference koje podržavaju dokaze.</w:t>
            </w:r>
          </w:p>
        </w:tc>
      </w:tr>
    </w:tbl>
    <w:p w:rsidR="00827F48" w:rsidRPr="00827F48" w:rsidRDefault="00827F48" w:rsidP="00827F48">
      <w:pPr>
        <w:rPr>
          <w:rFonts w:cs="Times New Roman"/>
        </w:rPr>
      </w:pPr>
    </w:p>
    <w:p w:rsidR="00827F48" w:rsidRPr="00827F48" w:rsidRDefault="00827F48" w:rsidP="00827F48">
      <w:pPr>
        <w:rPr>
          <w:rFonts w:cs="Times New Roman"/>
          <w:b/>
        </w:rPr>
      </w:pPr>
      <w:r w:rsidRPr="00827F48">
        <w:rPr>
          <w:rFonts w:cs="Times New Roman"/>
          <w:b/>
        </w:rPr>
        <w:t xml:space="preserve">8. Periferna i cerebrovaskularna bolest </w:t>
      </w:r>
    </w:p>
    <w:p w:rsidR="00827F48" w:rsidRPr="00827F48" w:rsidRDefault="00827F48" w:rsidP="00827F48">
      <w:pPr>
        <w:rPr>
          <w:rFonts w:cs="Times New Roman"/>
          <w:b/>
        </w:rPr>
      </w:pPr>
      <w:r w:rsidRPr="00827F48">
        <w:rPr>
          <w:rFonts w:cs="Times New Roman"/>
          <w:b/>
        </w:rPr>
        <w:t xml:space="preserve">8.1 Periferna arterijska bolest </w:t>
      </w:r>
    </w:p>
    <w:p w:rsidR="00827F48" w:rsidRPr="00827F48" w:rsidRDefault="00827F48" w:rsidP="00827F48">
      <w:pPr>
        <w:rPr>
          <w:rFonts w:cs="Times New Roman"/>
        </w:rPr>
      </w:pPr>
      <w:r w:rsidRPr="00827F48">
        <w:rPr>
          <w:rFonts w:cs="Times New Roman"/>
        </w:rPr>
        <w:t>Dijabetes melitus je faktor rizika za razvoj ateroskleroze na bilo kojem krvnom sudu, ali je posebno faktor rizika za razvoj bolesti arterija donjih ekstremiteta – lower extremity artery disease (LEAD), povećava rizik za dva – do četiri puta, i za bolest karotidnih arterija. Pušenje, DM, i hipertenzija su biti faktori rizika za LEAD. Iako je povezanost LEAD i DM inkonzistentna  u multivarijantnoj analizi, čini se da je je trajanje i težina DM posebno utiču na rizik od gangrene i ulceracija.</w:t>
      </w:r>
      <w:r w:rsidRPr="00827F48">
        <w:rPr>
          <w:rFonts w:cs="Times New Roman"/>
          <w:vertAlign w:val="superscript"/>
        </w:rPr>
        <w:t>340,341</w:t>
      </w:r>
      <w:r w:rsidRPr="00827F48">
        <w:rPr>
          <w:rFonts w:cs="Times New Roman"/>
        </w:rPr>
        <w:t xml:space="preserve"> U studijama na populacijama, prisustvo stenoze karotidne arterije, bilo je povezano sa DM i sa drugim klasičnim faktorima rizika, bez obzira na godine.</w:t>
      </w:r>
      <w:r w:rsidRPr="00827F48">
        <w:rPr>
          <w:rFonts w:cs="Times New Roman"/>
          <w:vertAlign w:val="superscript"/>
        </w:rPr>
        <w:t>342-344</w:t>
      </w:r>
      <w:r w:rsidRPr="00827F48">
        <w:rPr>
          <w:rFonts w:cs="Times New Roman"/>
        </w:rPr>
        <w:t xml:space="preserve"> DM je prisutna u značajnom procentu pacijenata sa aterosklerozom na više mjesta, koji imaju lošiju prognozu nego oni sa samo jednom lokacijom ateroskleroze.</w:t>
      </w:r>
      <w:r w:rsidRPr="00827F48">
        <w:rPr>
          <w:rFonts w:cs="Times New Roman"/>
          <w:vertAlign w:val="superscript"/>
        </w:rPr>
        <w:t>345,346</w:t>
      </w:r>
      <w:r w:rsidRPr="00827F48">
        <w:rPr>
          <w:rFonts w:cs="Times New Roman"/>
        </w:rPr>
        <w:t xml:space="preserve"> Pacijenti sa DM bi trebali da urade sveoobuhvatni skrining za prisustvo PAD na različitim vaskularnim mjestima. Istorija bolesti i fizikalni pregled su osnovica dijagnoze i trebali bi da uključe pregled različitih vaskularnih korita  i njihovih specifičnih simptoma,</w:t>
      </w:r>
      <w:r w:rsidRPr="00827F48">
        <w:rPr>
          <w:rFonts w:cs="Times New Roman"/>
          <w:vertAlign w:val="superscript"/>
        </w:rPr>
        <w:t>347</w:t>
      </w:r>
      <w:r w:rsidRPr="00827F48">
        <w:rPr>
          <w:rFonts w:cs="Times New Roman"/>
        </w:rPr>
        <w:t xml:space="preserve"> iako mnogi pacijenti ostaju asimptomatski. Dalja dijagnostička evaluacija i tretman trebali bi se primjeniti u skladu sa ESC smjernicama za PAD.</w:t>
      </w:r>
      <w:r w:rsidRPr="00827F48">
        <w:rPr>
          <w:rFonts w:cs="Times New Roman"/>
          <w:vertAlign w:val="superscript"/>
        </w:rPr>
        <w:t>347</w:t>
      </w:r>
      <w:r w:rsidRPr="00827F48">
        <w:rPr>
          <w:rFonts w:cs="Times New Roman"/>
        </w:rPr>
        <w:t xml:space="preserve"> Ukratko, kod svih pacijenata sa DM, klinički skrining kako bi se otkrio PAD bi </w:t>
      </w:r>
      <w:r w:rsidRPr="00827F48">
        <w:rPr>
          <w:rFonts w:cs="Times New Roman"/>
        </w:rPr>
        <w:lastRenderedPageBreak/>
        <w:t>se trebao uraditi godišnje i ohrabriti se promjena stila života.</w:t>
      </w:r>
      <w:r w:rsidRPr="00827F48">
        <w:rPr>
          <w:rFonts w:cs="Times New Roman"/>
          <w:vertAlign w:val="superscript"/>
        </w:rPr>
        <w:t>348</w:t>
      </w:r>
      <w:r w:rsidRPr="00827F48">
        <w:rPr>
          <w:rFonts w:cs="Times New Roman"/>
        </w:rPr>
        <w:t xml:space="preserve"> Svi pacijenti sa PAD bi trebali dobiti adekvatnu terapiju za snižavanje lipida, antihipertenzive i antiagregacionu terapiju,</w:t>
      </w:r>
      <w:r w:rsidRPr="00827F48">
        <w:rPr>
          <w:rFonts w:cs="Times New Roman"/>
          <w:vertAlign w:val="superscript"/>
        </w:rPr>
        <w:t>186,349-351</w:t>
      </w:r>
      <w:r w:rsidRPr="00827F48">
        <w:rPr>
          <w:rFonts w:cs="Times New Roman"/>
        </w:rPr>
        <w:t xml:space="preserve"> sa optimalnom kontrolom glikemije.</w:t>
      </w:r>
      <w:r w:rsidRPr="00827F48">
        <w:rPr>
          <w:rFonts w:cs="Times New Roman"/>
          <w:vertAlign w:val="superscript"/>
        </w:rPr>
        <w:t>72,200,352</w:t>
      </w:r>
      <w:r w:rsidRPr="00827F48">
        <w:rPr>
          <w:rFonts w:cs="Times New Roman"/>
        </w:rPr>
        <w:t xml:space="preserve"> </w:t>
      </w:r>
    </w:p>
    <w:p w:rsidR="00827F48" w:rsidRPr="00827F48" w:rsidRDefault="00827F48" w:rsidP="00827F48">
      <w:pPr>
        <w:rPr>
          <w:rFonts w:cs="Times New Roman"/>
          <w:b/>
        </w:rPr>
      </w:pPr>
      <w:r w:rsidRPr="00827F48">
        <w:rPr>
          <w:rFonts w:cs="Times New Roman"/>
          <w:b/>
        </w:rPr>
        <w:t xml:space="preserve">8.1.1 Bolest arterija donjih ekstremiteta </w:t>
      </w:r>
    </w:p>
    <w:p w:rsidR="00827F48" w:rsidRPr="00827F48" w:rsidRDefault="00827F48" w:rsidP="00827F48">
      <w:pPr>
        <w:rPr>
          <w:rFonts w:cs="Times New Roman"/>
        </w:rPr>
      </w:pPr>
      <w:r w:rsidRPr="00827F48">
        <w:rPr>
          <w:rFonts w:cs="Times New Roman"/>
        </w:rPr>
        <w:t>Vaskularne opstrukcije su često locirane distalno kod pacijenata sa DM  i tipiče lezije se pojavljuju u poplitealnim arterijama ili u krvnim sudovima donjeg djela noge. U kohorti od 8680 pacijenata preko 65 godina, jedan od pet pacijenata  je imao LEAD, iako je samo 10% bilo simptomatsko.</w:t>
      </w:r>
      <w:r w:rsidRPr="00827F48">
        <w:rPr>
          <w:rFonts w:cs="Times New Roman"/>
          <w:vertAlign w:val="superscript"/>
        </w:rPr>
        <w:t>353</w:t>
      </w:r>
      <w:r w:rsidRPr="00827F48">
        <w:rPr>
          <w:rFonts w:cs="Times New Roman"/>
        </w:rPr>
        <w:t xml:space="preserve"> Incidenca i prevalenca LEAD se povećava sa starošću i trajanjem DM. The Nationaln Health and Nutrition Examination Survey (NHANES II) je odredila amplitude pulsa kod odraslih, i smanjen ili odsutan puls aretije dorslis pedis je nađen kod 16% odraslih sa DM starosti 35-54 godine i kod 24% onih starosti 55-74.</w:t>
      </w:r>
      <w:r w:rsidRPr="00827F48">
        <w:rPr>
          <w:rFonts w:cs="Times New Roman"/>
          <w:vertAlign w:val="superscript"/>
        </w:rPr>
        <w:t>354</w:t>
      </w:r>
      <w:r w:rsidRPr="00827F48">
        <w:rPr>
          <w:rFonts w:cs="Times New Roman"/>
        </w:rPr>
        <w:t xml:space="preserve"> Kod mnogih drugih pacijenata, LEAD je prisutan u vrijeme postavljanja dijagnoze DM. Progresija LEAD može rezultirati ulceracijom stopla, gangrenom i, konačno, amputacijom. DM se računa u približno 50% netraumatskih amputacija u Sjedinjenjim Američkim Državama, a i naknadna amputacija je česta. Mortalitet je povećan sa LEAD i trogodišnje preživljavanje nakon amputacije je manje od 50%.</w:t>
      </w:r>
      <w:r w:rsidRPr="00827F48">
        <w:rPr>
          <w:rFonts w:cs="Times New Roman"/>
          <w:vertAlign w:val="superscript"/>
        </w:rPr>
        <w:t>351</w:t>
      </w:r>
      <w:r w:rsidRPr="00827F48">
        <w:rPr>
          <w:rFonts w:cs="Times New Roman"/>
        </w:rPr>
        <w:t xml:space="preserve"> Rana dijagnoza je važna zbog prevencije progresije LEAD i zbog predikcije ukupnog kardiovaskularnog rizika. </w:t>
      </w:r>
    </w:p>
    <w:p w:rsidR="00827F48" w:rsidRPr="00827F48" w:rsidRDefault="00827F48" w:rsidP="00827F48">
      <w:pPr>
        <w:rPr>
          <w:rFonts w:cs="Times New Roman"/>
        </w:rPr>
      </w:pPr>
      <w:r w:rsidRPr="00827F48">
        <w:rPr>
          <w:rFonts w:cs="Times New Roman"/>
          <w:b/>
        </w:rPr>
        <w:t>Dijagnoza</w:t>
      </w:r>
      <w:r w:rsidRPr="00827F48">
        <w:rPr>
          <w:rFonts w:cs="Times New Roman"/>
        </w:rPr>
        <w:t>. Simptomi koji sugerišu klaudikacije su problemi pri hodu, npr. zamor, bol, grčevi, ili bol sa lokalizacijom u zadnjici, butini, listovima, stopalu, posebno onda kada se simptomi brzo povlače nakon odmora. Objektivna mjera LEAD je članak-brahijalni indeks – ankle-brachial index (ABI), izračunat djeljenjem sistolnog krvnog pritiska na nivou zadnje tibijalne i zadnje pedalne arterije sa sistolnim brahijalnim krvnim pritiskom. Indeks &lt;0.9 sugeriše LEAD, posebno u prisustvu simptoma ili kliničkih nalaza  kao što su šumovi ili odsutnost pulseva. ABI &lt; 0.8 ukazuje na PAD bez obzira na simptome. Senzitivnost ABI mjerenja može se povećati nakon fizičkog opterećenja. ABI nakon fizičkog opterećenja pojedinca može ukazati na značajnu LEAD, čak i kod pojedinaca sa normalnim ABI u miru.</w:t>
      </w:r>
      <w:r w:rsidRPr="00827F48">
        <w:rPr>
          <w:rFonts w:cs="Times New Roman"/>
          <w:vertAlign w:val="superscript"/>
        </w:rPr>
        <w:t>355</w:t>
      </w:r>
      <w:r w:rsidRPr="00827F48">
        <w:rPr>
          <w:rFonts w:cs="Times New Roman"/>
        </w:rPr>
        <w:t xml:space="preserve"> ABI &gt; 1.40 ukazuje na slabo kompresibilne krvne sudove kao rezultat ukrućenog zida arterija (medijalna kalcifikacija), što može otežati procjenu arterijskog pritiska u arterijama. </w:t>
      </w:r>
    </w:p>
    <w:p w:rsidR="00827F48" w:rsidRPr="00827F48" w:rsidRDefault="00827F48" w:rsidP="00827F48">
      <w:pPr>
        <w:rPr>
          <w:rFonts w:cs="Times New Roman"/>
        </w:rPr>
      </w:pPr>
      <w:r w:rsidRPr="00827F48">
        <w:rPr>
          <w:rFonts w:cs="Times New Roman"/>
          <w:b/>
        </w:rPr>
        <w:t>Primarna i sekundarna prevencija</w:t>
      </w:r>
      <w:r w:rsidRPr="00827F48">
        <w:rPr>
          <w:rFonts w:cs="Times New Roman"/>
        </w:rPr>
        <w:t xml:space="preserve"> LEAD kod pacijenata sa DM sastoji se od promjena stila života (uključujući korekciju gojaznosti, pušenja i nedostaka fizičke aktivnosti) i kontrolu faktora rizika, uključujući hiperglikemiju, hiperlipidemiju i hipertenziju. </w:t>
      </w:r>
    </w:p>
    <w:p w:rsidR="00827F48" w:rsidRPr="00827F48" w:rsidRDefault="00827F48" w:rsidP="00827F48">
      <w:pPr>
        <w:rPr>
          <w:rFonts w:cs="Times New Roman"/>
        </w:rPr>
      </w:pPr>
      <w:r w:rsidRPr="00827F48">
        <w:rPr>
          <w:rFonts w:cs="Times New Roman"/>
          <w:b/>
        </w:rPr>
        <w:t>Treman.</w:t>
      </w:r>
      <w:r w:rsidRPr="00827F48">
        <w:rPr>
          <w:rFonts w:cs="Times New Roman"/>
        </w:rPr>
        <w:t xml:space="preserve"> U sistematskom ptegledu RCTs programa vježbi za kod simptomatskih klaudikacija, nadgledana terapija fizičkog opterećenja je bila efikasna za poboljšanje dužine hoda, u poređenju sa standardnom njegom.</w:t>
      </w:r>
      <w:r w:rsidRPr="00827F48">
        <w:rPr>
          <w:rFonts w:cs="Times New Roman"/>
          <w:vertAlign w:val="superscript"/>
        </w:rPr>
        <w:t>356</w:t>
      </w:r>
      <w:r w:rsidRPr="00827F48">
        <w:rPr>
          <w:rFonts w:cs="Times New Roman"/>
        </w:rPr>
        <w:t xml:space="preserve"> Iako cilostazol, naftidrofuril i pentoksifilin poboljšavaju dužinu hodanja kod intermitentnih klaudikacija, njihiva uloga ostaje nesigurna. Dodatno, za statinsku terapiju je prijavljeno da poboljšava dužinu hoda kod pacijenata sa PAD.</w:t>
      </w:r>
      <w:r w:rsidRPr="00827F48">
        <w:rPr>
          <w:rFonts w:cs="Times New Roman"/>
          <w:vertAlign w:val="superscript"/>
        </w:rPr>
        <w:t>347,357</w:t>
      </w:r>
      <w:r w:rsidRPr="00827F48">
        <w:rPr>
          <w:rFonts w:cs="Times New Roman"/>
        </w:rPr>
        <w:t xml:space="preserve"> Ako je konzervativna terapija neuspješna , revaskularizacija bi se trebala razmotriti. U slučaju onesposobljavajućih klaudikacija sa </w:t>
      </w:r>
      <w:r w:rsidRPr="00827F48">
        <w:rPr>
          <w:rFonts w:cs="Times New Roman"/>
          <w:i/>
        </w:rPr>
        <w:t>culprit</w:t>
      </w:r>
      <w:r w:rsidRPr="00827F48">
        <w:rPr>
          <w:rFonts w:cs="Times New Roman"/>
        </w:rPr>
        <w:t xml:space="preserve"> lezijama lociranim na aorti / ilijačnoj arteriji, revaskularizacija bi trebala da bude prvi izbor, zajedno sa menadžmentom faktora rizika.</w:t>
      </w:r>
      <w:r w:rsidRPr="00827F48">
        <w:rPr>
          <w:rFonts w:cs="Times New Roman"/>
          <w:vertAlign w:val="superscript"/>
        </w:rPr>
        <w:t>347</w:t>
      </w:r>
      <w:r w:rsidRPr="00827F48">
        <w:rPr>
          <w:rFonts w:cs="Times New Roman"/>
        </w:rPr>
        <w:t xml:space="preserve"> </w:t>
      </w:r>
    </w:p>
    <w:p w:rsidR="00827F48" w:rsidRPr="00827F48" w:rsidRDefault="00827F48" w:rsidP="00827F48">
      <w:pPr>
        <w:rPr>
          <w:rFonts w:cs="Times New Roman"/>
        </w:rPr>
      </w:pPr>
      <w:r w:rsidRPr="00827F48">
        <w:rPr>
          <w:rFonts w:cs="Times New Roman"/>
          <w:b/>
        </w:rPr>
        <w:t>Kritična ishemija ekstremiteta- critical limb ischaemia (CLI)</w:t>
      </w:r>
      <w:r w:rsidRPr="00827F48">
        <w:rPr>
          <w:rFonts w:cs="Times New Roman"/>
        </w:rPr>
        <w:t xml:space="preserve"> definiše se prisustvom bola u miru i ishemijskih lezija ili gangrene zbog okluzivne bolesti arterija koja je hronična i razlikuje se od akutne ishemije ekstremiteta. Važno, β-blokatori nisu kontraindikovani kod pacijenata sa LEAD i DM. Meta-analiza 11 RCTs je našla da β-blokatori ne djeluju nepovoljno na kapicet hodanja ili na simptome </w:t>
      </w:r>
      <w:r w:rsidRPr="00827F48">
        <w:rPr>
          <w:rFonts w:cs="Times New Roman"/>
        </w:rPr>
        <w:lastRenderedPageBreak/>
        <w:t>intermitentnih klaudikacija kod pacijenata sa blagom- do- umjerenom PAD.</w:t>
      </w:r>
      <w:r w:rsidRPr="00827F48">
        <w:rPr>
          <w:rFonts w:cs="Times New Roman"/>
          <w:vertAlign w:val="superscript"/>
        </w:rPr>
        <w:t>358</w:t>
      </w:r>
      <w:r w:rsidRPr="00827F48">
        <w:rPr>
          <w:rFonts w:cs="Times New Roman"/>
        </w:rPr>
        <w:t xml:space="preserve"> Na 32-mječnom praćenju 490 pacijenata sa PAD i ranijim MI, β-blokatori su prouzrokovali 53% značajno i nezavisno smanjenje u broju novih koronarnih događaja.</w:t>
      </w:r>
      <w:r w:rsidRPr="00827F48">
        <w:rPr>
          <w:rFonts w:cs="Times New Roman"/>
          <w:vertAlign w:val="superscript"/>
        </w:rPr>
        <w:t>359</w:t>
      </w:r>
      <w:r w:rsidRPr="00827F48">
        <w:rPr>
          <w:rFonts w:cs="Times New Roman"/>
        </w:rPr>
        <w:t xml:space="preserve"> Sveukupan tretman zahtjeva multidisciplinarnu njegu kako bi se kontrolisali aterosklerotski faktori rizika, omogućvanje revaskularizacije gdje je to potrebno, optimizaciju njege rane, nošenje odgovarajuće obuće, tretman infekcije i rehabilitaciju.</w:t>
      </w:r>
      <w:r w:rsidRPr="00827F48">
        <w:rPr>
          <w:rFonts w:cs="Times New Roman"/>
          <w:vertAlign w:val="superscript"/>
        </w:rPr>
        <w:t>347</w:t>
      </w:r>
      <w:r w:rsidRPr="00827F48">
        <w:rPr>
          <w:rFonts w:cs="Times New Roman"/>
        </w:rPr>
        <w:t xml:space="preserve"> Kamen temeljac menadžmenta je arterijska rekonstrukcija i spašavanje ekstremiteta. Osnovna medikamentozna terapija, koja uključuje antiagregacione lijekove i statine, trebala bi se uključiti prema primincipima naglašenim na drugom mjestu u ovom dokumentu.</w:t>
      </w:r>
      <w:r w:rsidRPr="00827F48">
        <w:rPr>
          <w:rFonts w:cs="Times New Roman"/>
          <w:vertAlign w:val="superscript"/>
        </w:rPr>
        <w:t>347,360,361</w:t>
      </w:r>
      <w:r w:rsidRPr="00827F48">
        <w:rPr>
          <w:rFonts w:cs="Times New Roman"/>
        </w:rPr>
        <w:t xml:space="preserve"> </w:t>
      </w:r>
    </w:p>
    <w:p w:rsidR="00827F48" w:rsidRPr="00827F48" w:rsidRDefault="00827F48" w:rsidP="00827F48">
      <w:pPr>
        <w:rPr>
          <w:rFonts w:cs="Times New Roman"/>
        </w:rPr>
      </w:pPr>
      <w:r w:rsidRPr="00827F48">
        <w:rPr>
          <w:rFonts w:cs="Times New Roman"/>
        </w:rPr>
        <w:t>Izbor revaskularizacione strategije zavisi primarno od anatomije arterijske lezije. Ishod endovaskularne rekonstrukcije ilijačne arterije kod pacijenata sa DM je prijavljen da je sličan ili gori od onog kod pacijenata koji nemaju DM, a dugovječnost takve rekonstrukcije je niža.</w:t>
      </w:r>
      <w:r w:rsidRPr="00827F48">
        <w:rPr>
          <w:rFonts w:cs="Times New Roman"/>
          <w:vertAlign w:val="superscript"/>
        </w:rPr>
        <w:t>362</w:t>
      </w:r>
      <w:r w:rsidRPr="00827F48">
        <w:rPr>
          <w:rFonts w:cs="Times New Roman"/>
        </w:rPr>
        <w:t xml:space="preserve"> Stopa dugovječnosti intravskularnih intervencija u tibio-peronealnoj regiji je niža kod pacijenata sa nego onih bez DM, ali može biti dovoljna u kratkom roku koji bi omogućio zacjeljivanje ulkusa stopla.</w:t>
      </w:r>
      <w:r w:rsidRPr="00827F48">
        <w:rPr>
          <w:rFonts w:cs="Times New Roman"/>
          <w:vertAlign w:val="superscript"/>
        </w:rPr>
        <w:t>362</w:t>
      </w:r>
      <w:r w:rsidRPr="00827F48">
        <w:rPr>
          <w:rFonts w:cs="Times New Roman"/>
        </w:rPr>
        <w:t xml:space="preserve"> </w:t>
      </w:r>
    </w:p>
    <w:p w:rsidR="00827F48" w:rsidRPr="00827F48" w:rsidRDefault="00827F48" w:rsidP="00827F48">
      <w:pPr>
        <w:rPr>
          <w:rFonts w:cs="Times New Roman"/>
        </w:rPr>
      </w:pPr>
      <w:r w:rsidRPr="00827F48">
        <w:rPr>
          <w:rFonts w:cs="Times New Roman"/>
          <w:b/>
        </w:rPr>
        <w:t>Dijabtesno stopalo</w:t>
      </w:r>
      <w:r w:rsidRPr="00827F48">
        <w:rPr>
          <w:rFonts w:cs="Times New Roman"/>
        </w:rPr>
        <w:t xml:space="preserve"> je specifičan kliniči entitet koji može da uključuje neuropatiju, traumu, arterijsku bolest, infekciju i inflamaciju, često u kombinaciji. Ozbiljne posljedice su ulceracija, gangrena, visoka stopa amputacija. Kod pacijenata sa DM, LEAD je tipično difuzna, i posebno ozbiljna u ditalnim krvnim sudovima. Kada je ABI nejasna, pritisak u nožnom prstu, analiza krive distalnog Dopplera, ili tanskutani kiseonik mogu procjeniti status arterije. Kada je prisutna ishemija, trebao bi se koristiti imidžing kako bi se planirala revaskularizacija, koristeći iste kriterije kao kod CLI. Praćenje uključuje edukaciju pacijenta, te rekonstruktivnu hirugiju stopalo ako je potrebna. Menadžment faktora rizika i prćenje radi revaskularizacije su obavezni.</w:t>
      </w:r>
      <w:r w:rsidRPr="00827F48">
        <w:rPr>
          <w:rFonts w:cs="Times New Roman"/>
          <w:vertAlign w:val="superscript"/>
        </w:rPr>
        <w:t>363</w:t>
      </w:r>
      <w:r w:rsidRPr="00827F48">
        <w:rPr>
          <w:rFonts w:cs="Times New Roman"/>
        </w:rPr>
        <w:t xml:space="preserve"> </w:t>
      </w:r>
    </w:p>
    <w:p w:rsidR="00827F48" w:rsidRPr="00827F48" w:rsidRDefault="00827F48" w:rsidP="00827F48">
      <w:pPr>
        <w:rPr>
          <w:rFonts w:cs="Times New Roman"/>
          <w:b/>
        </w:rPr>
      </w:pPr>
      <w:r w:rsidRPr="00827F48">
        <w:rPr>
          <w:rFonts w:cs="Times New Roman"/>
          <w:b/>
        </w:rPr>
        <w:t xml:space="preserve">8.1.2 Bolest karotidnih arterija </w:t>
      </w:r>
    </w:p>
    <w:p w:rsidR="00827F48" w:rsidRPr="00827F48" w:rsidRDefault="00827F48" w:rsidP="00827F48">
      <w:pPr>
        <w:rPr>
          <w:rFonts w:cs="Times New Roman"/>
        </w:rPr>
      </w:pPr>
      <w:r w:rsidRPr="00827F48">
        <w:rPr>
          <w:rFonts w:cs="Times New Roman"/>
        </w:rPr>
        <w:t>Dijabetes melitus je nezavisan faktor rizika za ishemični moždani udar sa incidencom koja je 2.5-3.5 puta viša nego kod pacijenata koji nemaju DM.</w:t>
      </w:r>
      <w:r w:rsidRPr="00827F48">
        <w:rPr>
          <w:rFonts w:cs="Times New Roman"/>
          <w:vertAlign w:val="superscript"/>
        </w:rPr>
        <w:t>364,365</w:t>
      </w:r>
      <w:r w:rsidRPr="00827F48">
        <w:rPr>
          <w:rFonts w:cs="Times New Roman"/>
        </w:rPr>
        <w:t xml:space="preserve"> Diskusija o prevenciji moždanog udara i tranzitornog ishemijskog ataka (TIA) biće ograničena na aspekte vezane za bolest karotidnih arterija, koja je kauzalno vezana na oko 20% svih ishemičnih moždanih udara.</w:t>
      </w:r>
      <w:r w:rsidRPr="00827F48">
        <w:rPr>
          <w:rFonts w:cs="Times New Roman"/>
          <w:vertAlign w:val="superscript"/>
        </w:rPr>
        <w:t>366</w:t>
      </w:r>
      <w:r w:rsidRPr="00827F48">
        <w:rPr>
          <w:rFonts w:cs="Times New Roman"/>
        </w:rPr>
        <w:t xml:space="preserve"> Iako DM povećava vjerovatnoću bolesti karotidnih arterijam ne mjenja generalni dijagnostički i terapijski pristup. </w:t>
      </w:r>
    </w:p>
    <w:tbl>
      <w:tblPr>
        <w:tblStyle w:val="TableGrid"/>
        <w:tblW w:w="0" w:type="auto"/>
        <w:tblLook w:val="04A0" w:firstRow="1" w:lastRow="0" w:firstColumn="1" w:lastColumn="0" w:noHBand="0" w:noVBand="1"/>
      </w:tblPr>
      <w:tblGrid>
        <w:gridCol w:w="6651"/>
        <w:gridCol w:w="847"/>
        <w:gridCol w:w="843"/>
        <w:gridCol w:w="947"/>
      </w:tblGrid>
      <w:tr w:rsidR="00827F48" w:rsidRPr="00827F48" w:rsidTr="004373B5">
        <w:tc>
          <w:tcPr>
            <w:tcW w:w="9576" w:type="dxa"/>
            <w:gridSpan w:val="4"/>
            <w:tcBorders>
              <w:top w:val="nil"/>
              <w:left w:val="nil"/>
              <w:right w:val="nil"/>
            </w:tcBorders>
          </w:tcPr>
          <w:p w:rsidR="00827F48" w:rsidRPr="00827F48" w:rsidRDefault="00827F48" w:rsidP="004373B5">
            <w:pPr>
              <w:rPr>
                <w:rFonts w:cs="Arial"/>
              </w:rPr>
            </w:pPr>
            <w:r w:rsidRPr="00827F48">
              <w:rPr>
                <w:rFonts w:cs="Arial"/>
              </w:rPr>
              <w:t>Preporuke za menadžment periferne arterijske bolesti u dijabetesu</w:t>
            </w:r>
          </w:p>
        </w:tc>
      </w:tr>
      <w:tr w:rsidR="00827F48" w:rsidRPr="00827F48" w:rsidTr="004373B5">
        <w:tc>
          <w:tcPr>
            <w:tcW w:w="9576" w:type="dxa"/>
            <w:gridSpan w:val="4"/>
          </w:tcPr>
          <w:p w:rsidR="00827F48" w:rsidRPr="00827F48" w:rsidRDefault="00827F48" w:rsidP="004373B5">
            <w:pPr>
              <w:rPr>
                <w:rFonts w:cs="Arial"/>
              </w:rPr>
            </w:pPr>
            <w:r w:rsidRPr="00827F48">
              <w:rPr>
                <w:rFonts w:cs="Arial"/>
              </w:rPr>
              <w:t>Menadžment periferne arterijske bolesti u dijabetesu</w:t>
            </w:r>
          </w:p>
        </w:tc>
      </w:tr>
      <w:tr w:rsidR="00827F48" w:rsidRPr="00827F48" w:rsidTr="004373B5">
        <w:tc>
          <w:tcPr>
            <w:tcW w:w="6912" w:type="dxa"/>
          </w:tcPr>
          <w:p w:rsidR="00827F48" w:rsidRPr="00827F48" w:rsidRDefault="00827F48" w:rsidP="004373B5">
            <w:pPr>
              <w:rPr>
                <w:rFonts w:cs="Arial"/>
                <w:b/>
              </w:rPr>
            </w:pPr>
            <w:r w:rsidRPr="00827F48">
              <w:rPr>
                <w:rFonts w:cs="Arial"/>
                <w:b/>
              </w:rPr>
              <w:t xml:space="preserve">Preporuke </w:t>
            </w:r>
          </w:p>
        </w:tc>
        <w:tc>
          <w:tcPr>
            <w:tcW w:w="851" w:type="dxa"/>
          </w:tcPr>
          <w:p w:rsidR="00827F48" w:rsidRPr="00827F48" w:rsidRDefault="00827F48" w:rsidP="004373B5">
            <w:pPr>
              <w:rPr>
                <w:rFonts w:cs="Arial"/>
                <w:b/>
              </w:rPr>
            </w:pPr>
            <w:r w:rsidRPr="00827F48">
              <w:rPr>
                <w:rFonts w:cs="Arial"/>
                <w:b/>
              </w:rPr>
              <w:t>Klasa</w:t>
            </w:r>
            <w:r w:rsidRPr="00827F48">
              <w:rPr>
                <w:rFonts w:cs="Arial"/>
                <w:b/>
                <w:vertAlign w:val="superscript"/>
              </w:rPr>
              <w:t>a</w:t>
            </w:r>
          </w:p>
        </w:tc>
        <w:tc>
          <w:tcPr>
            <w:tcW w:w="850" w:type="dxa"/>
          </w:tcPr>
          <w:p w:rsidR="00827F48" w:rsidRPr="00827F48" w:rsidRDefault="00827F48" w:rsidP="004373B5">
            <w:pPr>
              <w:rPr>
                <w:rFonts w:cs="Arial"/>
                <w:b/>
              </w:rPr>
            </w:pPr>
            <w:r w:rsidRPr="00827F48">
              <w:rPr>
                <w:rFonts w:cs="Arial"/>
                <w:b/>
              </w:rPr>
              <w:t>Nivo</w:t>
            </w:r>
            <w:r w:rsidRPr="00827F48">
              <w:rPr>
                <w:rFonts w:cs="Arial"/>
                <w:b/>
                <w:vertAlign w:val="superscript"/>
              </w:rPr>
              <w:t>b</w:t>
            </w:r>
          </w:p>
        </w:tc>
        <w:tc>
          <w:tcPr>
            <w:tcW w:w="963" w:type="dxa"/>
          </w:tcPr>
          <w:p w:rsidR="00827F48" w:rsidRPr="00827F48" w:rsidRDefault="00827F48" w:rsidP="004373B5">
            <w:pPr>
              <w:rPr>
                <w:rFonts w:cs="Arial"/>
                <w:b/>
              </w:rPr>
            </w:pPr>
            <w:r w:rsidRPr="00827F48">
              <w:rPr>
                <w:rFonts w:cs="Arial"/>
                <w:b/>
              </w:rPr>
              <w:t>Ref.</w:t>
            </w:r>
            <w:r w:rsidRPr="00827F48">
              <w:rPr>
                <w:rFonts w:cs="Arial"/>
                <w:b/>
                <w:vertAlign w:val="superscript"/>
              </w:rPr>
              <w:t>c</w:t>
            </w:r>
          </w:p>
        </w:tc>
      </w:tr>
      <w:tr w:rsidR="00827F48" w:rsidRPr="00827F48" w:rsidTr="004373B5">
        <w:tc>
          <w:tcPr>
            <w:tcW w:w="6912" w:type="dxa"/>
          </w:tcPr>
          <w:p w:rsidR="00827F48" w:rsidRPr="00827F48" w:rsidRDefault="00827F48" w:rsidP="004373B5">
            <w:pPr>
              <w:rPr>
                <w:rFonts w:cs="Arial"/>
              </w:rPr>
            </w:pPr>
            <w:r w:rsidRPr="00827F48">
              <w:rPr>
                <w:rFonts w:cs="Arial"/>
              </w:rPr>
              <w:t xml:space="preserve">Preporuka je da pacijenti sa DM imaju godišnji skrining kako bi se detektovala PAD, i mjerenje ABO kako bi se detektovao LEAD.  </w:t>
            </w:r>
          </w:p>
        </w:tc>
        <w:tc>
          <w:tcPr>
            <w:tcW w:w="851" w:type="dxa"/>
            <w:vAlign w:val="center"/>
          </w:tcPr>
          <w:p w:rsidR="00827F48" w:rsidRPr="00827F48" w:rsidRDefault="00827F48" w:rsidP="004373B5">
            <w:pPr>
              <w:jc w:val="center"/>
              <w:rPr>
                <w:rFonts w:cs="Arial"/>
              </w:rPr>
            </w:pPr>
            <w:r w:rsidRPr="00827F48">
              <w:rPr>
                <w:rFonts w:cs="Arial"/>
              </w:rPr>
              <w:t>I</w:t>
            </w:r>
          </w:p>
        </w:tc>
        <w:tc>
          <w:tcPr>
            <w:tcW w:w="850" w:type="dxa"/>
            <w:vAlign w:val="center"/>
          </w:tcPr>
          <w:p w:rsidR="00827F48" w:rsidRPr="00827F48" w:rsidRDefault="00827F48" w:rsidP="004373B5">
            <w:pPr>
              <w:jc w:val="center"/>
              <w:rPr>
                <w:rFonts w:cs="Arial"/>
              </w:rPr>
            </w:pPr>
            <w:r w:rsidRPr="00827F48">
              <w:rPr>
                <w:rFonts w:cs="Arial"/>
              </w:rPr>
              <w:t>C</w:t>
            </w:r>
          </w:p>
        </w:tc>
        <w:tc>
          <w:tcPr>
            <w:tcW w:w="963" w:type="dxa"/>
            <w:vAlign w:val="center"/>
          </w:tcPr>
          <w:p w:rsidR="00827F48" w:rsidRPr="00827F48" w:rsidRDefault="00827F48" w:rsidP="004373B5">
            <w:pPr>
              <w:jc w:val="center"/>
              <w:rPr>
                <w:rFonts w:cs="Arial"/>
              </w:rPr>
            </w:pPr>
            <w:r w:rsidRPr="00827F48">
              <w:rPr>
                <w:rFonts w:cs="Arial"/>
              </w:rPr>
              <w:t>-</w:t>
            </w:r>
          </w:p>
        </w:tc>
      </w:tr>
      <w:tr w:rsidR="00827F48" w:rsidRPr="00827F48" w:rsidTr="004373B5">
        <w:tc>
          <w:tcPr>
            <w:tcW w:w="6912" w:type="dxa"/>
          </w:tcPr>
          <w:p w:rsidR="00827F48" w:rsidRPr="00827F48" w:rsidRDefault="00827F48" w:rsidP="004373B5">
            <w:pPr>
              <w:rPr>
                <w:rFonts w:cs="Arial"/>
              </w:rPr>
            </w:pPr>
            <w:r w:rsidRPr="00827F48">
              <w:rPr>
                <w:rFonts w:cs="Arial"/>
              </w:rPr>
              <w:t xml:space="preserve">Preporuka je da se svi pacijenti sa PAD i dijabetesom koji puše savjetuju da to prestanu.  </w:t>
            </w:r>
          </w:p>
        </w:tc>
        <w:tc>
          <w:tcPr>
            <w:tcW w:w="851" w:type="dxa"/>
            <w:vAlign w:val="center"/>
          </w:tcPr>
          <w:p w:rsidR="00827F48" w:rsidRPr="00827F48" w:rsidRDefault="00827F48" w:rsidP="004373B5">
            <w:pPr>
              <w:jc w:val="center"/>
              <w:rPr>
                <w:rFonts w:cs="Arial"/>
              </w:rPr>
            </w:pPr>
            <w:r w:rsidRPr="00827F48">
              <w:rPr>
                <w:rFonts w:cs="Arial"/>
              </w:rPr>
              <w:t>I</w:t>
            </w:r>
          </w:p>
        </w:tc>
        <w:tc>
          <w:tcPr>
            <w:tcW w:w="850" w:type="dxa"/>
            <w:vAlign w:val="center"/>
          </w:tcPr>
          <w:p w:rsidR="00827F48" w:rsidRPr="00827F48" w:rsidRDefault="00827F48" w:rsidP="004373B5">
            <w:pPr>
              <w:jc w:val="center"/>
              <w:rPr>
                <w:rFonts w:cs="Arial"/>
              </w:rPr>
            </w:pPr>
            <w:r w:rsidRPr="00827F48">
              <w:rPr>
                <w:rFonts w:cs="Arial"/>
              </w:rPr>
              <w:t>B</w:t>
            </w:r>
          </w:p>
        </w:tc>
        <w:tc>
          <w:tcPr>
            <w:tcW w:w="963" w:type="dxa"/>
            <w:vAlign w:val="center"/>
          </w:tcPr>
          <w:p w:rsidR="00827F48" w:rsidRPr="00827F48" w:rsidRDefault="00827F48" w:rsidP="004373B5">
            <w:pPr>
              <w:jc w:val="center"/>
              <w:rPr>
                <w:rFonts w:cs="Arial"/>
              </w:rPr>
            </w:pPr>
            <w:r w:rsidRPr="00827F48">
              <w:rPr>
                <w:rFonts w:cs="Arial"/>
              </w:rPr>
              <w:t xml:space="preserve">348 </w:t>
            </w:r>
          </w:p>
        </w:tc>
      </w:tr>
      <w:tr w:rsidR="00827F48" w:rsidRPr="00827F48" w:rsidTr="004373B5">
        <w:tc>
          <w:tcPr>
            <w:tcW w:w="6912" w:type="dxa"/>
          </w:tcPr>
          <w:p w:rsidR="00827F48" w:rsidRPr="00827F48" w:rsidRDefault="00827F48" w:rsidP="004373B5">
            <w:pPr>
              <w:rPr>
                <w:rFonts w:cs="Arial"/>
              </w:rPr>
            </w:pPr>
            <w:r w:rsidRPr="00827F48">
              <w:rPr>
                <w:rFonts w:cs="Arial"/>
              </w:rPr>
              <w:t xml:space="preserve">Procjena rizika od krvarenja (npr. HAS-BLED skor) trebala bi se razmotriti kada se propisuje antitrombotska terapija kod pacijenata sa AF i DM.  </w:t>
            </w:r>
          </w:p>
        </w:tc>
        <w:tc>
          <w:tcPr>
            <w:tcW w:w="851" w:type="dxa"/>
            <w:vAlign w:val="center"/>
          </w:tcPr>
          <w:p w:rsidR="00827F48" w:rsidRPr="00827F48" w:rsidRDefault="00827F48" w:rsidP="004373B5">
            <w:pPr>
              <w:jc w:val="center"/>
              <w:rPr>
                <w:rFonts w:cs="Arial"/>
              </w:rPr>
            </w:pPr>
            <w:r w:rsidRPr="00827F48">
              <w:rPr>
                <w:rFonts w:cs="Arial"/>
              </w:rPr>
              <w:t>IIa</w:t>
            </w:r>
          </w:p>
        </w:tc>
        <w:tc>
          <w:tcPr>
            <w:tcW w:w="850" w:type="dxa"/>
            <w:vAlign w:val="center"/>
          </w:tcPr>
          <w:p w:rsidR="00827F48" w:rsidRPr="00827F48" w:rsidRDefault="00827F48" w:rsidP="004373B5">
            <w:pPr>
              <w:jc w:val="center"/>
              <w:rPr>
                <w:rFonts w:cs="Arial"/>
              </w:rPr>
            </w:pPr>
            <w:r w:rsidRPr="00827F48">
              <w:rPr>
                <w:rFonts w:cs="Arial"/>
              </w:rPr>
              <w:t>C</w:t>
            </w:r>
          </w:p>
        </w:tc>
        <w:tc>
          <w:tcPr>
            <w:tcW w:w="963" w:type="dxa"/>
            <w:vAlign w:val="center"/>
          </w:tcPr>
          <w:p w:rsidR="00827F48" w:rsidRPr="00827F48" w:rsidRDefault="00827F48" w:rsidP="004373B5">
            <w:pPr>
              <w:jc w:val="center"/>
              <w:rPr>
                <w:rFonts w:cs="Arial"/>
              </w:rPr>
            </w:pPr>
            <w:r w:rsidRPr="00827F48">
              <w:rPr>
                <w:rFonts w:cs="Arial"/>
              </w:rPr>
              <w:t>-</w:t>
            </w:r>
          </w:p>
        </w:tc>
      </w:tr>
      <w:tr w:rsidR="00827F48" w:rsidRPr="00827F48" w:rsidTr="004373B5">
        <w:tc>
          <w:tcPr>
            <w:tcW w:w="6912" w:type="dxa"/>
          </w:tcPr>
          <w:p w:rsidR="00827F48" w:rsidRPr="00827F48" w:rsidRDefault="00827F48" w:rsidP="004373B5">
            <w:pPr>
              <w:rPr>
                <w:rFonts w:cs="Arial"/>
              </w:rPr>
            </w:pPr>
            <w:r w:rsidRPr="00827F48">
              <w:rPr>
                <w:rFonts w:cs="Arial"/>
              </w:rPr>
              <w:t xml:space="preserve">Preporuka je da da pacijenti sa PAD i DM imaju LDL-C snižen na &lt;1.8 mmol/l (&lt;70mg/dl) ili za ≥50% kada se ne može postići ciljana vrijednost.     </w:t>
            </w:r>
          </w:p>
        </w:tc>
        <w:tc>
          <w:tcPr>
            <w:tcW w:w="851" w:type="dxa"/>
            <w:vAlign w:val="center"/>
          </w:tcPr>
          <w:p w:rsidR="00827F48" w:rsidRPr="00827F48" w:rsidRDefault="00827F48" w:rsidP="004373B5">
            <w:pPr>
              <w:jc w:val="center"/>
              <w:rPr>
                <w:rFonts w:cs="Arial"/>
              </w:rPr>
            </w:pPr>
            <w:r w:rsidRPr="00827F48">
              <w:rPr>
                <w:rFonts w:cs="Arial"/>
              </w:rPr>
              <w:t>I</w:t>
            </w:r>
          </w:p>
        </w:tc>
        <w:tc>
          <w:tcPr>
            <w:tcW w:w="850" w:type="dxa"/>
            <w:vAlign w:val="center"/>
          </w:tcPr>
          <w:p w:rsidR="00827F48" w:rsidRPr="00827F48" w:rsidRDefault="00827F48" w:rsidP="004373B5">
            <w:pPr>
              <w:jc w:val="center"/>
              <w:rPr>
                <w:rFonts w:cs="Arial"/>
              </w:rPr>
            </w:pPr>
            <w:r w:rsidRPr="00827F48">
              <w:rPr>
                <w:rFonts w:cs="Arial"/>
              </w:rPr>
              <w:t>A</w:t>
            </w:r>
          </w:p>
        </w:tc>
        <w:tc>
          <w:tcPr>
            <w:tcW w:w="963" w:type="dxa"/>
            <w:vAlign w:val="center"/>
          </w:tcPr>
          <w:p w:rsidR="00827F48" w:rsidRPr="00827F48" w:rsidRDefault="00827F48" w:rsidP="004373B5">
            <w:pPr>
              <w:jc w:val="center"/>
              <w:rPr>
                <w:rFonts w:cs="Arial"/>
              </w:rPr>
            </w:pPr>
            <w:r w:rsidRPr="00827F48">
              <w:rPr>
                <w:rFonts w:cs="Arial"/>
              </w:rPr>
              <w:t>349</w:t>
            </w:r>
          </w:p>
        </w:tc>
      </w:tr>
      <w:tr w:rsidR="00827F48" w:rsidRPr="00827F48" w:rsidTr="004373B5">
        <w:tc>
          <w:tcPr>
            <w:tcW w:w="6912" w:type="dxa"/>
            <w:tcBorders>
              <w:bottom w:val="single" w:sz="4" w:space="0" w:color="auto"/>
            </w:tcBorders>
          </w:tcPr>
          <w:p w:rsidR="00827F48" w:rsidRPr="00827F48" w:rsidRDefault="00827F48" w:rsidP="004373B5">
            <w:pPr>
              <w:rPr>
                <w:rFonts w:cs="Arial"/>
              </w:rPr>
            </w:pPr>
            <w:r w:rsidRPr="00827F48">
              <w:rPr>
                <w:rFonts w:cs="Arial"/>
              </w:rPr>
              <w:t xml:space="preserve">Preporuka je da pacijenti sa PAD i DM kontrolišu svoj BP tako da vrijednosti budu &lt;140/85mmHg.  </w:t>
            </w:r>
          </w:p>
        </w:tc>
        <w:tc>
          <w:tcPr>
            <w:tcW w:w="851" w:type="dxa"/>
            <w:tcBorders>
              <w:bottom w:val="single" w:sz="4" w:space="0" w:color="auto"/>
            </w:tcBorders>
            <w:vAlign w:val="center"/>
          </w:tcPr>
          <w:p w:rsidR="00827F48" w:rsidRPr="00827F48" w:rsidRDefault="00827F48" w:rsidP="004373B5">
            <w:pPr>
              <w:jc w:val="center"/>
              <w:rPr>
                <w:rFonts w:cs="Arial"/>
              </w:rPr>
            </w:pPr>
            <w:r w:rsidRPr="00827F48">
              <w:rPr>
                <w:rFonts w:cs="Arial"/>
              </w:rPr>
              <w:t>I</w:t>
            </w:r>
          </w:p>
        </w:tc>
        <w:tc>
          <w:tcPr>
            <w:tcW w:w="850" w:type="dxa"/>
            <w:tcBorders>
              <w:bottom w:val="single" w:sz="4" w:space="0" w:color="auto"/>
            </w:tcBorders>
            <w:vAlign w:val="center"/>
          </w:tcPr>
          <w:p w:rsidR="00827F48" w:rsidRPr="00827F48" w:rsidRDefault="00827F48" w:rsidP="004373B5">
            <w:pPr>
              <w:jc w:val="center"/>
              <w:rPr>
                <w:rFonts w:cs="Arial"/>
              </w:rPr>
            </w:pPr>
            <w:r w:rsidRPr="00827F48">
              <w:rPr>
                <w:rFonts w:cs="Arial"/>
              </w:rPr>
              <w:t>C</w:t>
            </w:r>
          </w:p>
        </w:tc>
        <w:tc>
          <w:tcPr>
            <w:tcW w:w="963" w:type="dxa"/>
            <w:tcBorders>
              <w:bottom w:val="single" w:sz="4" w:space="0" w:color="auto"/>
            </w:tcBorders>
            <w:vAlign w:val="center"/>
          </w:tcPr>
          <w:p w:rsidR="00827F48" w:rsidRPr="00827F48" w:rsidRDefault="00827F48" w:rsidP="004373B5">
            <w:pPr>
              <w:jc w:val="center"/>
              <w:rPr>
                <w:rFonts w:cs="Arial"/>
              </w:rPr>
            </w:pPr>
            <w:r w:rsidRPr="00827F48">
              <w:rPr>
                <w:rFonts w:cs="Arial"/>
              </w:rPr>
              <w:t>-</w:t>
            </w:r>
          </w:p>
        </w:tc>
      </w:tr>
      <w:tr w:rsidR="00827F48" w:rsidRPr="00827F48" w:rsidTr="004373B5">
        <w:tc>
          <w:tcPr>
            <w:tcW w:w="6912" w:type="dxa"/>
            <w:tcBorders>
              <w:bottom w:val="single" w:sz="4" w:space="0" w:color="auto"/>
            </w:tcBorders>
          </w:tcPr>
          <w:p w:rsidR="00827F48" w:rsidRPr="00827F48" w:rsidRDefault="00827F48" w:rsidP="004373B5">
            <w:pPr>
              <w:rPr>
                <w:rFonts w:cs="Arial"/>
              </w:rPr>
            </w:pPr>
            <w:r w:rsidRPr="00827F48">
              <w:rPr>
                <w:rFonts w:cs="Arial"/>
              </w:rPr>
              <w:t xml:space="preserve">Antiagregaciona terapija se preporučuje kod pacijenata sa simptomatskom PAD i DM bez kontraindikacija.  </w:t>
            </w:r>
          </w:p>
        </w:tc>
        <w:tc>
          <w:tcPr>
            <w:tcW w:w="851" w:type="dxa"/>
            <w:tcBorders>
              <w:bottom w:val="single" w:sz="4" w:space="0" w:color="auto"/>
            </w:tcBorders>
            <w:vAlign w:val="center"/>
          </w:tcPr>
          <w:p w:rsidR="00827F48" w:rsidRPr="00827F48" w:rsidRDefault="00827F48" w:rsidP="004373B5">
            <w:pPr>
              <w:jc w:val="center"/>
              <w:rPr>
                <w:rFonts w:cs="Arial"/>
              </w:rPr>
            </w:pPr>
            <w:r w:rsidRPr="00827F48">
              <w:rPr>
                <w:rFonts w:cs="Arial"/>
              </w:rPr>
              <w:t>I</w:t>
            </w:r>
          </w:p>
        </w:tc>
        <w:tc>
          <w:tcPr>
            <w:tcW w:w="850" w:type="dxa"/>
            <w:tcBorders>
              <w:bottom w:val="single" w:sz="4" w:space="0" w:color="auto"/>
            </w:tcBorders>
            <w:vAlign w:val="center"/>
          </w:tcPr>
          <w:p w:rsidR="00827F48" w:rsidRPr="00827F48" w:rsidRDefault="00827F48" w:rsidP="004373B5">
            <w:pPr>
              <w:jc w:val="center"/>
              <w:rPr>
                <w:rFonts w:cs="Arial"/>
              </w:rPr>
            </w:pPr>
            <w:r w:rsidRPr="00827F48">
              <w:rPr>
                <w:rFonts w:cs="Arial"/>
              </w:rPr>
              <w:t>A</w:t>
            </w:r>
          </w:p>
        </w:tc>
        <w:tc>
          <w:tcPr>
            <w:tcW w:w="963" w:type="dxa"/>
            <w:tcBorders>
              <w:bottom w:val="single" w:sz="4" w:space="0" w:color="auto"/>
            </w:tcBorders>
            <w:vAlign w:val="center"/>
          </w:tcPr>
          <w:p w:rsidR="00827F48" w:rsidRPr="00827F48" w:rsidRDefault="00827F48" w:rsidP="004373B5">
            <w:pPr>
              <w:jc w:val="center"/>
              <w:rPr>
                <w:rFonts w:cs="Arial"/>
              </w:rPr>
            </w:pPr>
            <w:r w:rsidRPr="00827F48">
              <w:rPr>
                <w:rFonts w:cs="Arial"/>
              </w:rPr>
              <w:t>186</w:t>
            </w:r>
          </w:p>
        </w:tc>
      </w:tr>
      <w:tr w:rsidR="00827F48" w:rsidRPr="00827F48" w:rsidTr="004373B5">
        <w:tc>
          <w:tcPr>
            <w:tcW w:w="9576" w:type="dxa"/>
            <w:gridSpan w:val="4"/>
            <w:tcBorders>
              <w:left w:val="nil"/>
              <w:bottom w:val="nil"/>
              <w:right w:val="nil"/>
            </w:tcBorders>
          </w:tcPr>
          <w:p w:rsidR="00827F48" w:rsidRPr="00827F48" w:rsidRDefault="00827F48" w:rsidP="004373B5">
            <w:pPr>
              <w:rPr>
                <w:rFonts w:cs="Arial"/>
              </w:rPr>
            </w:pPr>
            <w:r w:rsidRPr="00827F48">
              <w:rPr>
                <w:rFonts w:cs="Arial"/>
              </w:rPr>
              <w:lastRenderedPageBreak/>
              <w:t xml:space="preserve">ABI= članak-brahijalni indeks; DM= dijabetes melitus; LDL-C holesterol sa lipoproteinima niske gustine; LEAD= bolest arterija donjih ekstremiteta; PAD= periferan arterijska bolest. </w:t>
            </w:r>
          </w:p>
          <w:p w:rsidR="00827F48" w:rsidRPr="00827F48" w:rsidRDefault="00827F48" w:rsidP="004373B5">
            <w:pPr>
              <w:rPr>
                <w:rFonts w:cs="Arial"/>
              </w:rPr>
            </w:pPr>
            <w:r w:rsidRPr="00827F48">
              <w:rPr>
                <w:rFonts w:cs="Arial"/>
                <w:vertAlign w:val="superscript"/>
              </w:rPr>
              <w:t xml:space="preserve"> A</w:t>
            </w:r>
            <w:r w:rsidRPr="00827F48">
              <w:rPr>
                <w:rFonts w:cs="Arial"/>
              </w:rPr>
              <w:t xml:space="preserve"> Klasa preporuka.</w:t>
            </w:r>
          </w:p>
          <w:p w:rsidR="00827F48" w:rsidRPr="00827F48" w:rsidRDefault="00827F48" w:rsidP="004373B5">
            <w:pPr>
              <w:rPr>
                <w:rFonts w:cs="Arial"/>
              </w:rPr>
            </w:pPr>
            <w:r w:rsidRPr="00827F48">
              <w:rPr>
                <w:rFonts w:cs="Arial"/>
                <w:vertAlign w:val="superscript"/>
              </w:rPr>
              <w:t>B</w:t>
            </w:r>
            <w:r w:rsidRPr="00827F48">
              <w:rPr>
                <w:rFonts w:cs="Arial"/>
              </w:rPr>
              <w:t xml:space="preserve"> Nivo dokaza.</w:t>
            </w:r>
          </w:p>
          <w:p w:rsidR="00827F48" w:rsidRPr="00827F48" w:rsidRDefault="00827F48" w:rsidP="004373B5">
            <w:pPr>
              <w:rPr>
                <w:rFonts w:cs="Arial"/>
              </w:rPr>
            </w:pPr>
            <w:r w:rsidRPr="00827F48">
              <w:rPr>
                <w:rFonts w:cs="Arial"/>
                <w:vertAlign w:val="superscript"/>
              </w:rPr>
              <w:t>C</w:t>
            </w:r>
            <w:r w:rsidRPr="00827F48">
              <w:rPr>
                <w:rFonts w:cs="Arial"/>
              </w:rPr>
              <w:t xml:space="preserve"> Reference koje podržavaju dokaze.</w:t>
            </w:r>
          </w:p>
        </w:tc>
      </w:tr>
    </w:tbl>
    <w:p w:rsidR="00827F48" w:rsidRPr="00827F48" w:rsidRDefault="00827F48" w:rsidP="00827F48">
      <w:pPr>
        <w:rPr>
          <w:rFonts w:cs="Times New Roman"/>
        </w:rPr>
      </w:pPr>
    </w:p>
    <w:p w:rsidR="00827F48" w:rsidRPr="00827F48" w:rsidRDefault="00827F48" w:rsidP="00827F48">
      <w:pPr>
        <w:rPr>
          <w:rFonts w:cs="Times New Roman"/>
        </w:rPr>
      </w:pPr>
      <w:r w:rsidRPr="00827F48">
        <w:rPr>
          <w:rFonts w:cs="Times New Roman"/>
          <w:b/>
        </w:rPr>
        <w:t>Dijagnoza.</w:t>
      </w:r>
      <w:r w:rsidRPr="00827F48">
        <w:rPr>
          <w:rFonts w:cs="Times New Roman"/>
        </w:rPr>
        <w:t xml:space="preserve"> Karotidni šum je čest iako su mnogi pojedinci asimptomatični, bez obzira na ozbiljnost lezije. Iako je spektar simtpoma širok, samo oni koji su bolovali od moždanog udara ili TIA u zadnjih šest mjesecu, smatraju se simptomatskim.</w:t>
      </w:r>
      <w:r w:rsidRPr="00827F48">
        <w:rPr>
          <w:rFonts w:cs="Times New Roman"/>
          <w:vertAlign w:val="superscript"/>
        </w:rPr>
        <w:t>367,368</w:t>
      </w:r>
      <w:r w:rsidRPr="00827F48">
        <w:rPr>
          <w:rFonts w:cs="Times New Roman"/>
        </w:rPr>
        <w:t xml:space="preserve"> U ovoj grupi pacijenata, vjerovatnoća rekurentnog moždanog udara ili TIA je visoka.</w:t>
      </w:r>
      <w:r w:rsidRPr="00827F48">
        <w:rPr>
          <w:rFonts w:cs="Times New Roman"/>
          <w:vertAlign w:val="superscript"/>
        </w:rPr>
        <w:t>369</w:t>
      </w:r>
      <w:r w:rsidRPr="00827F48">
        <w:rPr>
          <w:rFonts w:cs="Times New Roman"/>
        </w:rPr>
        <w:t xml:space="preserve"> Zato je urgentni imidžing mozga i supraaortnih krvnih sudova obavezan kod pacijenata koji se javljaju sa Tia ili moždanim udarom. Duplex sonografija, kompjuterska tomografija angiografija, i magnetna rezonanaca su indikovani kako bi se evaluirala ozbiljnost stenoze karotidne arterije. </w:t>
      </w:r>
    </w:p>
    <w:p w:rsidR="00827F48" w:rsidRPr="00827F48" w:rsidRDefault="00827F48" w:rsidP="00827F48">
      <w:pPr>
        <w:rPr>
          <w:rFonts w:cs="Times New Roman"/>
        </w:rPr>
      </w:pPr>
      <w:r w:rsidRPr="00827F48">
        <w:rPr>
          <w:rFonts w:cs="Times New Roman"/>
          <w:b/>
        </w:rPr>
        <w:t>Tretman.</w:t>
      </w:r>
      <w:r w:rsidRPr="00827F48">
        <w:rPr>
          <w:rFonts w:cs="Times New Roman"/>
        </w:rPr>
        <w:t xml:space="preserve"> Iako se čini da karotidna endarterektomija nudi jasnu prednost u odnosu na konzervativni tretman od pacijanata sa simptomatskom bolešću karotidnih arterija, uloga revaskularizacije kod asimptomatskih pacijenata ostaje nešto manje jasna.</w:t>
      </w:r>
      <w:r w:rsidRPr="00827F48">
        <w:rPr>
          <w:rFonts w:cs="Times New Roman"/>
          <w:vertAlign w:val="superscript"/>
        </w:rPr>
        <w:t>347</w:t>
      </w:r>
      <w:r w:rsidRPr="00827F48">
        <w:rPr>
          <w:rFonts w:cs="Times New Roman"/>
        </w:rPr>
        <w:t xml:space="preserve"> Treba naglasiti da je većina podataka, kod pacijenata koji nemaju simptoma, prikljupljena prije negos što su antiagregacioni lijekovi i statini postali standard terapije. </w:t>
      </w:r>
    </w:p>
    <w:p w:rsidR="00827F48" w:rsidRPr="00827F48" w:rsidRDefault="00827F48" w:rsidP="00827F48">
      <w:pPr>
        <w:rPr>
          <w:rFonts w:cs="Times New Roman"/>
          <w:b/>
        </w:rPr>
      </w:pPr>
    </w:p>
    <w:p w:rsidR="00827F48" w:rsidRPr="00827F48" w:rsidRDefault="00827F48" w:rsidP="00827F48">
      <w:pPr>
        <w:rPr>
          <w:rFonts w:cs="Times New Roman"/>
          <w:b/>
        </w:rPr>
      </w:pPr>
      <w:r w:rsidRPr="00827F48">
        <w:rPr>
          <w:rFonts w:cs="Times New Roman"/>
          <w:b/>
        </w:rPr>
        <w:t xml:space="preserve">9. Njega orijentisana prema pacijentu </w:t>
      </w:r>
    </w:p>
    <w:p w:rsidR="00827F48" w:rsidRPr="00827F48" w:rsidRDefault="00827F48" w:rsidP="00827F48">
      <w:pPr>
        <w:rPr>
          <w:rFonts w:cs="Times New Roman"/>
        </w:rPr>
      </w:pPr>
      <w:r w:rsidRPr="00827F48">
        <w:rPr>
          <w:rFonts w:cs="Times New Roman"/>
        </w:rPr>
        <w:t xml:space="preserve">Neophodnost muktifaktorijalne procjene rizika i menadžmeta životnog stila, uključujući dijetu i vježbanje, u prevenciji i liječenju DM i CVD je naglašena u ranijim sekcijama. Međutim, podrška pacijentima kako bi postigli i održali promjene stila života na individualnoj bazi, koristeći definsane terapijske ciljeve i strategije, nastavlja da bude značajan izazov. </w:t>
      </w:r>
    </w:p>
    <w:tbl>
      <w:tblPr>
        <w:tblStyle w:val="TableGrid"/>
        <w:tblW w:w="0" w:type="auto"/>
        <w:tblLook w:val="04A0" w:firstRow="1" w:lastRow="0" w:firstColumn="1" w:lastColumn="0" w:noHBand="0" w:noVBand="1"/>
      </w:tblPr>
      <w:tblGrid>
        <w:gridCol w:w="6651"/>
        <w:gridCol w:w="847"/>
        <w:gridCol w:w="843"/>
        <w:gridCol w:w="947"/>
      </w:tblGrid>
      <w:tr w:rsidR="00827F48" w:rsidRPr="00827F48" w:rsidTr="004373B5">
        <w:tc>
          <w:tcPr>
            <w:tcW w:w="9576" w:type="dxa"/>
            <w:gridSpan w:val="4"/>
            <w:tcBorders>
              <w:top w:val="nil"/>
              <w:left w:val="nil"/>
              <w:right w:val="nil"/>
            </w:tcBorders>
          </w:tcPr>
          <w:p w:rsidR="00827F48" w:rsidRPr="00827F48" w:rsidRDefault="00827F48" w:rsidP="004373B5">
            <w:pPr>
              <w:rPr>
                <w:rFonts w:cs="Arial"/>
              </w:rPr>
            </w:pPr>
            <w:r w:rsidRPr="00827F48">
              <w:rPr>
                <w:rFonts w:cs="Arial"/>
              </w:rPr>
              <w:t>Preporuke za njegu usmjerenu ka pacijentu</w:t>
            </w:r>
          </w:p>
        </w:tc>
      </w:tr>
      <w:tr w:rsidR="00827F48" w:rsidRPr="00827F48" w:rsidTr="004373B5">
        <w:tc>
          <w:tcPr>
            <w:tcW w:w="9576" w:type="dxa"/>
            <w:gridSpan w:val="4"/>
          </w:tcPr>
          <w:p w:rsidR="00827F48" w:rsidRPr="00827F48" w:rsidRDefault="00827F48" w:rsidP="004373B5">
            <w:pPr>
              <w:rPr>
                <w:rFonts w:cs="Arial"/>
              </w:rPr>
            </w:pPr>
            <w:r w:rsidRPr="00827F48">
              <w:rPr>
                <w:rFonts w:cs="Arial"/>
              </w:rPr>
              <w:t>Njega usmjerena ka pacijentu</w:t>
            </w:r>
          </w:p>
        </w:tc>
      </w:tr>
      <w:tr w:rsidR="00827F48" w:rsidRPr="00827F48" w:rsidTr="004373B5">
        <w:tc>
          <w:tcPr>
            <w:tcW w:w="6912" w:type="dxa"/>
          </w:tcPr>
          <w:p w:rsidR="00827F48" w:rsidRPr="00827F48" w:rsidRDefault="00827F48" w:rsidP="004373B5">
            <w:pPr>
              <w:rPr>
                <w:rFonts w:cs="Arial"/>
                <w:b/>
              </w:rPr>
            </w:pPr>
            <w:r w:rsidRPr="00827F48">
              <w:rPr>
                <w:rFonts w:cs="Arial"/>
                <w:b/>
              </w:rPr>
              <w:t xml:space="preserve">Preporuke </w:t>
            </w:r>
          </w:p>
        </w:tc>
        <w:tc>
          <w:tcPr>
            <w:tcW w:w="851" w:type="dxa"/>
          </w:tcPr>
          <w:p w:rsidR="00827F48" w:rsidRPr="00827F48" w:rsidRDefault="00827F48" w:rsidP="004373B5">
            <w:pPr>
              <w:rPr>
                <w:rFonts w:cs="Arial"/>
                <w:b/>
              </w:rPr>
            </w:pPr>
            <w:r w:rsidRPr="00827F48">
              <w:rPr>
                <w:rFonts w:cs="Arial"/>
                <w:b/>
              </w:rPr>
              <w:t>Klasa</w:t>
            </w:r>
            <w:r w:rsidRPr="00827F48">
              <w:rPr>
                <w:rFonts w:cs="Arial"/>
                <w:b/>
                <w:vertAlign w:val="superscript"/>
              </w:rPr>
              <w:t>a</w:t>
            </w:r>
          </w:p>
        </w:tc>
        <w:tc>
          <w:tcPr>
            <w:tcW w:w="850" w:type="dxa"/>
          </w:tcPr>
          <w:p w:rsidR="00827F48" w:rsidRPr="00827F48" w:rsidRDefault="00827F48" w:rsidP="004373B5">
            <w:pPr>
              <w:rPr>
                <w:rFonts w:cs="Arial"/>
                <w:b/>
              </w:rPr>
            </w:pPr>
            <w:r w:rsidRPr="00827F48">
              <w:rPr>
                <w:rFonts w:cs="Arial"/>
                <w:b/>
              </w:rPr>
              <w:t>Nivo</w:t>
            </w:r>
            <w:r w:rsidRPr="00827F48">
              <w:rPr>
                <w:rFonts w:cs="Arial"/>
                <w:b/>
                <w:vertAlign w:val="superscript"/>
              </w:rPr>
              <w:t>b</w:t>
            </w:r>
          </w:p>
        </w:tc>
        <w:tc>
          <w:tcPr>
            <w:tcW w:w="963" w:type="dxa"/>
          </w:tcPr>
          <w:p w:rsidR="00827F48" w:rsidRPr="00827F48" w:rsidRDefault="00827F48" w:rsidP="004373B5">
            <w:pPr>
              <w:rPr>
                <w:rFonts w:cs="Arial"/>
                <w:b/>
              </w:rPr>
            </w:pPr>
            <w:r w:rsidRPr="00827F48">
              <w:rPr>
                <w:rFonts w:cs="Arial"/>
                <w:b/>
              </w:rPr>
              <w:t>Ref.</w:t>
            </w:r>
            <w:r w:rsidRPr="00827F48">
              <w:rPr>
                <w:rFonts w:cs="Arial"/>
                <w:b/>
                <w:vertAlign w:val="superscript"/>
              </w:rPr>
              <w:t>c</w:t>
            </w:r>
          </w:p>
        </w:tc>
      </w:tr>
      <w:tr w:rsidR="00827F48" w:rsidRPr="00827F48" w:rsidTr="004373B5">
        <w:tc>
          <w:tcPr>
            <w:tcW w:w="6912" w:type="dxa"/>
          </w:tcPr>
          <w:p w:rsidR="00827F48" w:rsidRPr="00827F48" w:rsidRDefault="00827F48" w:rsidP="004373B5">
            <w:pPr>
              <w:rPr>
                <w:rFonts w:cs="Arial"/>
              </w:rPr>
            </w:pPr>
            <w:r w:rsidRPr="00827F48">
              <w:rPr>
                <w:rFonts w:cs="Arial"/>
              </w:rPr>
              <w:t xml:space="preserve">Njega usmjerena prema pacijentu se preporučuje kako bi olakšala podjelu odgovornosti i donošenje odluka u smislu pacijentovih prioriteta i ciljeva   </w:t>
            </w:r>
          </w:p>
        </w:tc>
        <w:tc>
          <w:tcPr>
            <w:tcW w:w="851" w:type="dxa"/>
            <w:vAlign w:val="center"/>
          </w:tcPr>
          <w:p w:rsidR="00827F48" w:rsidRPr="00827F48" w:rsidRDefault="00827F48" w:rsidP="004373B5">
            <w:pPr>
              <w:jc w:val="center"/>
              <w:rPr>
                <w:rFonts w:cs="Arial"/>
              </w:rPr>
            </w:pPr>
            <w:r w:rsidRPr="00827F48">
              <w:rPr>
                <w:rFonts w:cs="Arial"/>
              </w:rPr>
              <w:t>I</w:t>
            </w:r>
          </w:p>
        </w:tc>
        <w:tc>
          <w:tcPr>
            <w:tcW w:w="850" w:type="dxa"/>
            <w:vAlign w:val="center"/>
          </w:tcPr>
          <w:p w:rsidR="00827F48" w:rsidRPr="00827F48" w:rsidRDefault="00827F48" w:rsidP="004373B5">
            <w:pPr>
              <w:jc w:val="center"/>
              <w:rPr>
                <w:rFonts w:cs="Arial"/>
              </w:rPr>
            </w:pPr>
            <w:r w:rsidRPr="00827F48">
              <w:rPr>
                <w:rFonts w:cs="Arial"/>
              </w:rPr>
              <w:t>C</w:t>
            </w:r>
          </w:p>
        </w:tc>
        <w:tc>
          <w:tcPr>
            <w:tcW w:w="963" w:type="dxa"/>
            <w:vAlign w:val="center"/>
          </w:tcPr>
          <w:p w:rsidR="00827F48" w:rsidRPr="00827F48" w:rsidRDefault="00827F48" w:rsidP="004373B5">
            <w:pPr>
              <w:jc w:val="center"/>
              <w:rPr>
                <w:rFonts w:cs="Arial"/>
              </w:rPr>
            </w:pPr>
            <w:r w:rsidRPr="00827F48">
              <w:rPr>
                <w:rFonts w:cs="Arial"/>
              </w:rPr>
              <w:t>-</w:t>
            </w:r>
          </w:p>
        </w:tc>
      </w:tr>
      <w:tr w:rsidR="00827F48" w:rsidRPr="00827F48" w:rsidTr="004373B5">
        <w:tc>
          <w:tcPr>
            <w:tcW w:w="6912" w:type="dxa"/>
          </w:tcPr>
          <w:p w:rsidR="00827F48" w:rsidRPr="00827F48" w:rsidRDefault="00827F48" w:rsidP="004373B5">
            <w:pPr>
              <w:rPr>
                <w:rFonts w:cs="Arial"/>
              </w:rPr>
            </w:pPr>
            <w:r w:rsidRPr="00827F48">
              <w:rPr>
                <w:rFonts w:cs="Arial"/>
              </w:rPr>
              <w:t>Prema pacijentu usmjerene kognitivne –bihevioralne strategije se preporučuju kako bi pomogle pacijentu da postigne promjene stila života i ostvari praktiči samostalni menadžment.</w:t>
            </w:r>
          </w:p>
        </w:tc>
        <w:tc>
          <w:tcPr>
            <w:tcW w:w="851" w:type="dxa"/>
            <w:vAlign w:val="center"/>
          </w:tcPr>
          <w:p w:rsidR="00827F48" w:rsidRPr="00827F48" w:rsidRDefault="00827F48" w:rsidP="004373B5">
            <w:pPr>
              <w:jc w:val="center"/>
              <w:rPr>
                <w:rFonts w:cs="Arial"/>
              </w:rPr>
            </w:pPr>
            <w:r w:rsidRPr="00827F48">
              <w:rPr>
                <w:rFonts w:cs="Arial"/>
              </w:rPr>
              <w:t>I</w:t>
            </w:r>
          </w:p>
        </w:tc>
        <w:tc>
          <w:tcPr>
            <w:tcW w:w="850" w:type="dxa"/>
            <w:vAlign w:val="center"/>
          </w:tcPr>
          <w:p w:rsidR="00827F48" w:rsidRPr="00827F48" w:rsidRDefault="00827F48" w:rsidP="004373B5">
            <w:pPr>
              <w:jc w:val="center"/>
              <w:rPr>
                <w:rFonts w:cs="Arial"/>
              </w:rPr>
            </w:pPr>
            <w:r w:rsidRPr="00827F48">
              <w:rPr>
                <w:rFonts w:cs="Arial"/>
              </w:rPr>
              <w:t>B</w:t>
            </w:r>
          </w:p>
        </w:tc>
        <w:tc>
          <w:tcPr>
            <w:tcW w:w="963" w:type="dxa"/>
            <w:vAlign w:val="center"/>
          </w:tcPr>
          <w:p w:rsidR="00827F48" w:rsidRPr="00827F48" w:rsidRDefault="00827F48" w:rsidP="004373B5">
            <w:pPr>
              <w:jc w:val="center"/>
              <w:rPr>
                <w:rFonts w:cs="Arial"/>
              </w:rPr>
            </w:pPr>
            <w:r w:rsidRPr="00827F48">
              <w:rPr>
                <w:rFonts w:cs="Arial"/>
              </w:rPr>
              <w:t>370-373</w:t>
            </w:r>
          </w:p>
        </w:tc>
      </w:tr>
      <w:tr w:rsidR="00827F48" w:rsidRPr="00827F48" w:rsidTr="004373B5">
        <w:tc>
          <w:tcPr>
            <w:tcW w:w="6912" w:type="dxa"/>
          </w:tcPr>
          <w:p w:rsidR="00827F48" w:rsidRPr="00827F48" w:rsidRDefault="00827F48" w:rsidP="004373B5">
            <w:pPr>
              <w:rPr>
                <w:rFonts w:cs="Arial"/>
              </w:rPr>
            </w:pPr>
            <w:r w:rsidRPr="00827F48">
              <w:rPr>
                <w:rFonts w:cs="Arial"/>
              </w:rPr>
              <w:t>Prema pacijentu usmjerene kognitivne –bihevioralne strategije u kombinaciji sa simplifikacijom režima doziranja  trebali bi se razmotriti kako bi se popravila medikamentozna komplijansa.</w:t>
            </w:r>
          </w:p>
        </w:tc>
        <w:tc>
          <w:tcPr>
            <w:tcW w:w="851" w:type="dxa"/>
            <w:vAlign w:val="center"/>
          </w:tcPr>
          <w:p w:rsidR="00827F48" w:rsidRPr="00827F48" w:rsidRDefault="00827F48" w:rsidP="004373B5">
            <w:pPr>
              <w:jc w:val="center"/>
              <w:rPr>
                <w:rFonts w:cs="Arial"/>
              </w:rPr>
            </w:pPr>
            <w:r w:rsidRPr="00827F48">
              <w:rPr>
                <w:rFonts w:cs="Arial"/>
              </w:rPr>
              <w:t>IIa</w:t>
            </w:r>
          </w:p>
        </w:tc>
        <w:tc>
          <w:tcPr>
            <w:tcW w:w="850" w:type="dxa"/>
            <w:vAlign w:val="center"/>
          </w:tcPr>
          <w:p w:rsidR="00827F48" w:rsidRPr="00827F48" w:rsidRDefault="00827F48" w:rsidP="004373B5">
            <w:pPr>
              <w:jc w:val="center"/>
              <w:rPr>
                <w:rFonts w:cs="Arial"/>
              </w:rPr>
            </w:pPr>
            <w:r w:rsidRPr="00827F48">
              <w:rPr>
                <w:rFonts w:cs="Arial"/>
              </w:rPr>
              <w:t>B</w:t>
            </w:r>
          </w:p>
        </w:tc>
        <w:tc>
          <w:tcPr>
            <w:tcW w:w="963" w:type="dxa"/>
            <w:vAlign w:val="center"/>
          </w:tcPr>
          <w:p w:rsidR="00827F48" w:rsidRPr="00827F48" w:rsidRDefault="00827F48" w:rsidP="004373B5">
            <w:pPr>
              <w:jc w:val="center"/>
              <w:rPr>
                <w:rFonts w:cs="Arial"/>
              </w:rPr>
            </w:pPr>
            <w:r w:rsidRPr="00827F48">
              <w:rPr>
                <w:rFonts w:cs="Arial"/>
              </w:rPr>
              <w:t>374-376</w:t>
            </w:r>
          </w:p>
        </w:tc>
      </w:tr>
      <w:tr w:rsidR="00827F48" w:rsidRPr="00827F48" w:rsidTr="004373B5">
        <w:tc>
          <w:tcPr>
            <w:tcW w:w="6912" w:type="dxa"/>
          </w:tcPr>
          <w:p w:rsidR="00827F48" w:rsidRPr="00827F48" w:rsidRDefault="00827F48" w:rsidP="004373B5">
            <w:pPr>
              <w:rPr>
                <w:rFonts w:cs="Arial"/>
              </w:rPr>
            </w:pPr>
            <w:r w:rsidRPr="00827F48">
              <w:rPr>
                <w:rFonts w:cs="Arial"/>
              </w:rPr>
              <w:t xml:space="preserve">Multidisciplinarni timovi i program vođen od strane medicinskih sestara treabli bi se razmotriti kako bi se pomogle promjene stila života samostalni menadžment.       </w:t>
            </w:r>
          </w:p>
        </w:tc>
        <w:tc>
          <w:tcPr>
            <w:tcW w:w="851" w:type="dxa"/>
            <w:vAlign w:val="center"/>
          </w:tcPr>
          <w:p w:rsidR="00827F48" w:rsidRPr="00827F48" w:rsidRDefault="00827F48" w:rsidP="004373B5">
            <w:pPr>
              <w:jc w:val="center"/>
              <w:rPr>
                <w:rFonts w:cs="Arial"/>
              </w:rPr>
            </w:pPr>
            <w:r w:rsidRPr="00827F48">
              <w:rPr>
                <w:rFonts w:cs="Arial"/>
              </w:rPr>
              <w:t>IIa</w:t>
            </w:r>
          </w:p>
        </w:tc>
        <w:tc>
          <w:tcPr>
            <w:tcW w:w="850" w:type="dxa"/>
            <w:vAlign w:val="center"/>
          </w:tcPr>
          <w:p w:rsidR="00827F48" w:rsidRPr="00827F48" w:rsidRDefault="00827F48" w:rsidP="004373B5">
            <w:pPr>
              <w:jc w:val="center"/>
              <w:rPr>
                <w:rFonts w:cs="Arial"/>
              </w:rPr>
            </w:pPr>
            <w:r w:rsidRPr="00827F48">
              <w:rPr>
                <w:rFonts w:cs="Arial"/>
              </w:rPr>
              <w:t>B</w:t>
            </w:r>
          </w:p>
        </w:tc>
        <w:tc>
          <w:tcPr>
            <w:tcW w:w="963" w:type="dxa"/>
            <w:vAlign w:val="center"/>
          </w:tcPr>
          <w:p w:rsidR="00827F48" w:rsidRPr="00827F48" w:rsidRDefault="00827F48" w:rsidP="004373B5">
            <w:pPr>
              <w:jc w:val="center"/>
              <w:rPr>
                <w:rFonts w:cs="Arial"/>
              </w:rPr>
            </w:pPr>
            <w:r w:rsidRPr="00827F48">
              <w:rPr>
                <w:rFonts w:cs="Arial"/>
              </w:rPr>
              <w:t>370, 371, 373, 377</w:t>
            </w:r>
          </w:p>
        </w:tc>
      </w:tr>
      <w:tr w:rsidR="00827F48" w:rsidRPr="00827F48" w:rsidTr="004373B5">
        <w:tc>
          <w:tcPr>
            <w:tcW w:w="9576" w:type="dxa"/>
            <w:gridSpan w:val="4"/>
            <w:tcBorders>
              <w:left w:val="nil"/>
              <w:bottom w:val="nil"/>
              <w:right w:val="nil"/>
            </w:tcBorders>
          </w:tcPr>
          <w:p w:rsidR="00827F48" w:rsidRPr="00827F48" w:rsidRDefault="00827F48" w:rsidP="004373B5">
            <w:pPr>
              <w:rPr>
                <w:rFonts w:cs="Arial"/>
              </w:rPr>
            </w:pPr>
            <w:r w:rsidRPr="00827F48">
              <w:rPr>
                <w:rFonts w:cs="Arial"/>
                <w:vertAlign w:val="superscript"/>
              </w:rPr>
              <w:t>A</w:t>
            </w:r>
            <w:r w:rsidRPr="00827F48">
              <w:rPr>
                <w:rFonts w:cs="Arial"/>
              </w:rPr>
              <w:t xml:space="preserve"> Klasa preporuka.</w:t>
            </w:r>
          </w:p>
          <w:p w:rsidR="00827F48" w:rsidRPr="00827F48" w:rsidRDefault="00827F48" w:rsidP="004373B5">
            <w:pPr>
              <w:rPr>
                <w:rFonts w:cs="Arial"/>
              </w:rPr>
            </w:pPr>
            <w:r w:rsidRPr="00827F48">
              <w:rPr>
                <w:rFonts w:cs="Arial"/>
                <w:vertAlign w:val="superscript"/>
              </w:rPr>
              <w:t>B</w:t>
            </w:r>
            <w:r w:rsidRPr="00827F48">
              <w:rPr>
                <w:rFonts w:cs="Arial"/>
              </w:rPr>
              <w:t xml:space="preserve"> Nivo dokaza.</w:t>
            </w:r>
          </w:p>
          <w:p w:rsidR="00827F48" w:rsidRPr="00827F48" w:rsidRDefault="00827F48" w:rsidP="004373B5">
            <w:pPr>
              <w:rPr>
                <w:rFonts w:cs="Arial"/>
              </w:rPr>
            </w:pPr>
            <w:r w:rsidRPr="00827F48">
              <w:rPr>
                <w:rFonts w:cs="Arial"/>
                <w:vertAlign w:val="superscript"/>
              </w:rPr>
              <w:t>C</w:t>
            </w:r>
            <w:r w:rsidRPr="00827F48">
              <w:rPr>
                <w:rFonts w:cs="Arial"/>
              </w:rPr>
              <w:t xml:space="preserve"> Reference koje podržavaju dokaze.</w:t>
            </w:r>
          </w:p>
        </w:tc>
      </w:tr>
    </w:tbl>
    <w:p w:rsidR="00827F48" w:rsidRPr="00827F48" w:rsidRDefault="00827F48" w:rsidP="00827F48">
      <w:pPr>
        <w:rPr>
          <w:rFonts w:cs="Times New Roman"/>
        </w:rPr>
      </w:pPr>
    </w:p>
    <w:p w:rsidR="00827F48" w:rsidRPr="00827F48" w:rsidRDefault="00827F48" w:rsidP="00827F48">
      <w:pPr>
        <w:rPr>
          <w:rFonts w:cs="Times New Roman"/>
        </w:rPr>
      </w:pPr>
      <w:r w:rsidRPr="00827F48">
        <w:rPr>
          <w:rFonts w:cs="Times New Roman"/>
        </w:rPr>
        <w:lastRenderedPageBreak/>
        <w:t>Reference…..</w:t>
      </w:r>
    </w:p>
    <w:p w:rsidR="00827F48" w:rsidRPr="00827F48" w:rsidRDefault="00827F48" w:rsidP="00827F48">
      <w:pPr>
        <w:rPr>
          <w:rFonts w:cs="Times New Roman"/>
        </w:rPr>
      </w:pPr>
    </w:p>
    <w:p w:rsidR="00827F48" w:rsidRPr="00827F48" w:rsidRDefault="00827F48" w:rsidP="00155BD6"/>
    <w:sectPr w:rsidR="00827F48" w:rsidRPr="00827F48" w:rsidSect="00125AE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B068F0"/>
    <w:multiLevelType w:val="hybridMultilevel"/>
    <w:tmpl w:val="C9D4493E"/>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2"/>
  </w:compat>
  <w:rsids>
    <w:rsidRoot w:val="00C1524D"/>
    <w:rsid w:val="00001951"/>
    <w:rsid w:val="000166C5"/>
    <w:rsid w:val="00056CE5"/>
    <w:rsid w:val="0009461F"/>
    <w:rsid w:val="000B503D"/>
    <w:rsid w:val="000D1873"/>
    <w:rsid w:val="000E785A"/>
    <w:rsid w:val="001060CA"/>
    <w:rsid w:val="00123D4C"/>
    <w:rsid w:val="00125AE9"/>
    <w:rsid w:val="00155BD6"/>
    <w:rsid w:val="00194CBC"/>
    <w:rsid w:val="00204BD8"/>
    <w:rsid w:val="00253EE5"/>
    <w:rsid w:val="00283EAD"/>
    <w:rsid w:val="002A5C09"/>
    <w:rsid w:val="002D6750"/>
    <w:rsid w:val="002E5E53"/>
    <w:rsid w:val="002E79A9"/>
    <w:rsid w:val="00334FED"/>
    <w:rsid w:val="00341AF2"/>
    <w:rsid w:val="00345F54"/>
    <w:rsid w:val="003859BC"/>
    <w:rsid w:val="003C252E"/>
    <w:rsid w:val="003F3C39"/>
    <w:rsid w:val="004136AC"/>
    <w:rsid w:val="00437F33"/>
    <w:rsid w:val="00466C30"/>
    <w:rsid w:val="00471D98"/>
    <w:rsid w:val="004A5C4C"/>
    <w:rsid w:val="004C242A"/>
    <w:rsid w:val="004C3DF6"/>
    <w:rsid w:val="005177DD"/>
    <w:rsid w:val="005871EB"/>
    <w:rsid w:val="00592C9A"/>
    <w:rsid w:val="005C7591"/>
    <w:rsid w:val="005F4604"/>
    <w:rsid w:val="006035DC"/>
    <w:rsid w:val="00615B57"/>
    <w:rsid w:val="0064248B"/>
    <w:rsid w:val="006A748B"/>
    <w:rsid w:val="006C2A2C"/>
    <w:rsid w:val="006D4BAE"/>
    <w:rsid w:val="006E1032"/>
    <w:rsid w:val="0073704D"/>
    <w:rsid w:val="007433C9"/>
    <w:rsid w:val="007814F3"/>
    <w:rsid w:val="00787B3B"/>
    <w:rsid w:val="007C134E"/>
    <w:rsid w:val="007D45CD"/>
    <w:rsid w:val="007F549B"/>
    <w:rsid w:val="00823F85"/>
    <w:rsid w:val="00826D6D"/>
    <w:rsid w:val="00827F48"/>
    <w:rsid w:val="00846DCD"/>
    <w:rsid w:val="0086088F"/>
    <w:rsid w:val="008751D0"/>
    <w:rsid w:val="008D397F"/>
    <w:rsid w:val="008D6A1C"/>
    <w:rsid w:val="00905E04"/>
    <w:rsid w:val="00911C16"/>
    <w:rsid w:val="00931364"/>
    <w:rsid w:val="00943D52"/>
    <w:rsid w:val="00962CA7"/>
    <w:rsid w:val="00995A7B"/>
    <w:rsid w:val="009E2626"/>
    <w:rsid w:val="009E28CE"/>
    <w:rsid w:val="00A0228E"/>
    <w:rsid w:val="00A05F66"/>
    <w:rsid w:val="00A5068A"/>
    <w:rsid w:val="00A52DE4"/>
    <w:rsid w:val="00A677DC"/>
    <w:rsid w:val="00A75DB8"/>
    <w:rsid w:val="00AA61D0"/>
    <w:rsid w:val="00AA7FA8"/>
    <w:rsid w:val="00AF3575"/>
    <w:rsid w:val="00AF555F"/>
    <w:rsid w:val="00B46E8C"/>
    <w:rsid w:val="00B53C96"/>
    <w:rsid w:val="00B6455A"/>
    <w:rsid w:val="00C10B45"/>
    <w:rsid w:val="00C1524D"/>
    <w:rsid w:val="00C15ACB"/>
    <w:rsid w:val="00C23FAD"/>
    <w:rsid w:val="00C33322"/>
    <w:rsid w:val="00C42B78"/>
    <w:rsid w:val="00C43AAF"/>
    <w:rsid w:val="00C50BAF"/>
    <w:rsid w:val="00C9499B"/>
    <w:rsid w:val="00C961EA"/>
    <w:rsid w:val="00D138A4"/>
    <w:rsid w:val="00D14772"/>
    <w:rsid w:val="00D23E54"/>
    <w:rsid w:val="00D25E5F"/>
    <w:rsid w:val="00D441CF"/>
    <w:rsid w:val="00D67EF7"/>
    <w:rsid w:val="00D85676"/>
    <w:rsid w:val="00DD31B2"/>
    <w:rsid w:val="00DD56A5"/>
    <w:rsid w:val="00E63489"/>
    <w:rsid w:val="00E8559B"/>
    <w:rsid w:val="00E90D63"/>
    <w:rsid w:val="00E91B11"/>
    <w:rsid w:val="00EC6B89"/>
    <w:rsid w:val="00ED3BC4"/>
    <w:rsid w:val="00EE6C25"/>
    <w:rsid w:val="00EF3665"/>
    <w:rsid w:val="00F11F91"/>
    <w:rsid w:val="00F350F6"/>
    <w:rsid w:val="00F461B2"/>
    <w:rsid w:val="00F63E08"/>
    <w:rsid w:val="00F726A7"/>
    <w:rsid w:val="00F87E82"/>
    <w:rsid w:val="00FD35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s-Latn-B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5A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A748B"/>
    <w:rPr>
      <w:color w:val="0000FF" w:themeColor="hyperlink"/>
      <w:u w:val="single"/>
    </w:rPr>
  </w:style>
  <w:style w:type="paragraph" w:styleId="ListParagraph">
    <w:name w:val="List Paragraph"/>
    <w:basedOn w:val="Normal"/>
    <w:uiPriority w:val="34"/>
    <w:qFormat/>
    <w:rsid w:val="006A748B"/>
    <w:pPr>
      <w:ind w:left="720"/>
      <w:contextualSpacing/>
    </w:pPr>
  </w:style>
  <w:style w:type="table" w:styleId="TableGrid">
    <w:name w:val="Table Grid"/>
    <w:basedOn w:val="TableNormal"/>
    <w:uiPriority w:val="59"/>
    <w:rsid w:val="007814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66C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6C30"/>
    <w:rPr>
      <w:rFonts w:ascii="Tahoma" w:hAnsi="Tahoma" w:cs="Tahoma"/>
      <w:sz w:val="16"/>
      <w:szCs w:val="16"/>
    </w:rPr>
  </w:style>
  <w:style w:type="character" w:styleId="PlaceholderText">
    <w:name w:val="Placeholder Text"/>
    <w:basedOn w:val="DefaultParagraphFont"/>
    <w:uiPriority w:val="99"/>
    <w:semiHidden/>
    <w:rsid w:val="00827F4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s-Latn-B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A748B"/>
    <w:rPr>
      <w:color w:val="0000FF" w:themeColor="hyperlink"/>
      <w:u w:val="single"/>
    </w:rPr>
  </w:style>
  <w:style w:type="paragraph" w:styleId="ListParagraph">
    <w:name w:val="List Paragraph"/>
    <w:basedOn w:val="Normal"/>
    <w:uiPriority w:val="34"/>
    <w:qFormat/>
    <w:rsid w:val="006A748B"/>
    <w:pPr>
      <w:ind w:left="720"/>
      <w:contextualSpacing/>
    </w:pPr>
  </w:style>
  <w:style w:type="table" w:styleId="TableGrid">
    <w:name w:val="Table Grid"/>
    <w:basedOn w:val="TableNormal"/>
    <w:uiPriority w:val="59"/>
    <w:rsid w:val="007814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66C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6C3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hyperlink" Target="http://www.diabetes.fi/englis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scardio.org/guidelines"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18063</Words>
  <Characters>102964</Characters>
  <Application>Microsoft Office Word</Application>
  <DocSecurity>0</DocSecurity>
  <Lines>858</Lines>
  <Paragraphs>241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Malinovic;Milan GLuhović</dc:creator>
  <cp:lastModifiedBy>Sasa</cp:lastModifiedBy>
  <cp:revision>4</cp:revision>
  <cp:lastPrinted>2014-11-01T08:34:00Z</cp:lastPrinted>
  <dcterms:created xsi:type="dcterms:W3CDTF">2015-01-21T09:57:00Z</dcterms:created>
  <dcterms:modified xsi:type="dcterms:W3CDTF">2015-03-11T19:37:00Z</dcterms:modified>
</cp:coreProperties>
</file>